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6E2" w:rsidRDefault="00BE79F1">
      <w:pPr>
        <w:sectPr w:rsidR="00F346E2">
          <w:pgSz w:w="11906" w:h="16838"/>
          <w:pgMar w:top="1440" w:right="1800" w:bottom="1440" w:left="1800" w:header="851" w:footer="992" w:gutter="0"/>
          <w:cols w:space="425"/>
          <w:docGrid w:type="lines" w:linePitch="312"/>
        </w:sectPr>
      </w:pPr>
      <w:r>
        <w:rPr>
          <w:noProof/>
          <w:sz w:val="18"/>
        </w:rP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2450465</wp:posOffset>
                </wp:positionV>
                <wp:extent cx="7336790" cy="222885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7336790" cy="2228850"/>
                        </a:xfrm>
                        <a:prstGeom prst="rect">
                          <a:avLst/>
                        </a:prstGeom>
                        <a:noFill/>
                        <a:ln w="6350">
                          <a:noFill/>
                        </a:ln>
                        <a:effectLst/>
                      </wps:spPr>
                      <wps:txbx>
                        <w:txbxContent>
                          <w:p w:rsidR="00F346E2" w:rsidRDefault="00BE79F1">
                            <w:pPr>
                              <w:pStyle w:val="a8"/>
                              <w:spacing w:line="1296" w:lineRule="exact"/>
                              <w:jc w:val="center"/>
                              <w:rPr>
                                <w:rFonts w:ascii="黑体" w:eastAsia="黑体" w:hAnsi="黑体" w:cs="黑体"/>
                                <w:color w:val="000000"/>
                                <w:kern w:val="24"/>
                                <w:sz w:val="72"/>
                                <w:szCs w:val="72"/>
                              </w:rPr>
                            </w:pPr>
                            <w:r>
                              <w:rPr>
                                <w:rFonts w:ascii="黑体" w:eastAsia="黑体" w:hAnsi="黑体" w:cs="黑体" w:hint="eastAsia"/>
                                <w:color w:val="000000"/>
                                <w:kern w:val="24"/>
                                <w:sz w:val="72"/>
                                <w:szCs w:val="72"/>
                              </w:rPr>
                              <w:t>2023年度部门整体支出</w:t>
                            </w:r>
                          </w:p>
                          <w:p w:rsidR="00F346E2" w:rsidRDefault="00BE79F1">
                            <w:pPr>
                              <w:pStyle w:val="a8"/>
                              <w:spacing w:line="1296" w:lineRule="exact"/>
                              <w:jc w:val="center"/>
                              <w:rPr>
                                <w:rFonts w:ascii="黑体" w:eastAsia="黑体" w:hAnsi="黑体" w:cs="黑体"/>
                                <w:b/>
                                <w:bCs/>
                                <w:color w:val="1D4390"/>
                                <w:sz w:val="52"/>
                                <w:szCs w:val="52"/>
                              </w:rPr>
                            </w:pPr>
                            <w:r>
                              <w:rPr>
                                <w:rFonts w:ascii="黑体" w:eastAsia="黑体" w:hAnsi="黑体" w:cs="黑体" w:hint="eastAsia"/>
                                <w:color w:val="000000"/>
                                <w:kern w:val="24"/>
                                <w:sz w:val="72"/>
                                <w:szCs w:val="72"/>
                              </w:rPr>
                              <w:t>绩效评价报告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6" o:spid="_x0000_s1026" type="#_x0000_t202" style="position:absolute;left:0;text-align:left;margin-left:-81.75pt;margin-top:192.95pt;width:577.7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" filled="f" stroked="f" strokeweight=".5pt">
                <v:textbox>
                  <w:txbxContent>
                    <w:p w:rsidR="00F346E2" w:rsidRDefault="00BE79F1">
                      <w:pPr>
                        <w:pStyle w:val="a8"/>
                        <w:spacing w:line="1296" w:lineRule="exact"/>
                        <w:jc w:val="center"/>
                        <w:rPr>
                          <w:rFonts w:ascii="黑体" w:eastAsia="黑体" w:hAnsi="黑体" w:cs="黑体"/>
                          <w:color w:val="000000"/>
                          <w:kern w:val="24"/>
                          <w:sz w:val="72"/>
                          <w:szCs w:val="72"/>
                        </w:rPr>
                      </w:pPr>
                      <w:r>
                        <w:rPr>
                          <w:rFonts w:ascii="黑体" w:eastAsia="黑体" w:hAnsi="黑体" w:cs="黑体" w:hint="eastAsia"/>
                          <w:color w:val="000000"/>
                          <w:kern w:val="24"/>
                          <w:sz w:val="72"/>
                          <w:szCs w:val="72"/>
                        </w:rPr>
                        <w:t>2023年度部门整体支出</w:t>
                      </w:r>
                    </w:p>
                    <w:p w:rsidR="00F346E2" w:rsidRDefault="00BE79F1">
                      <w:pPr>
                        <w:pStyle w:val="a8"/>
                        <w:spacing w:line="1296" w:lineRule="exact"/>
                        <w:jc w:val="center"/>
                        <w:rPr>
                          <w:rFonts w:ascii="黑体" w:eastAsia="黑体" w:hAnsi="黑体" w:cs="黑体"/>
                          <w:b/>
                          <w:bCs/>
                          <w:color w:val="1D4390"/>
                          <w:sz w:val="52"/>
                          <w:szCs w:val="52"/>
                        </w:rPr>
                      </w:pPr>
                      <w:r>
                        <w:rPr>
                          <w:rFonts w:ascii="黑体" w:eastAsia="黑体" w:hAnsi="黑体" w:cs="黑体" w:hint="eastAsia"/>
                          <w:color w:val="000000"/>
                          <w:kern w:val="24"/>
                          <w:sz w:val="72"/>
                          <w:szCs w:val="72"/>
                        </w:rPr>
                        <w:t>绩效评价报告</w:t>
                      </w:r>
                    </w:p>
                  </w:txbxContent>
                </v:textbox>
              </v:shape>
            </w:pict>
          </mc:Fallback>
        </mc:AlternateContent>
      </w:r>
      <w:r>
        <w:rPr>
          <w:noProof/>
          <w:sz w:val="18"/>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6393180</wp:posOffset>
                </wp:positionV>
                <wp:extent cx="6889115" cy="194754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6889115" cy="1947545"/>
                        </a:xfrm>
                        <a:prstGeom prst="rect">
                          <a:avLst/>
                        </a:prstGeom>
                        <a:noFill/>
                        <a:ln w="6350">
                          <a:noFill/>
                        </a:ln>
                        <a:effectLst/>
                      </wps:spPr>
                      <wps:txbx>
                        <w:txbxContent>
                          <w:p w:rsidR="00F346E2" w:rsidRDefault="00BE79F1">
                            <w:pPr>
                              <w:jc w:val="center"/>
                              <w:rPr>
                                <w:rFonts w:ascii="黑体" w:eastAsia="黑体" w:hAnsi="黑体" w:cs="黑体"/>
                                <w:b/>
                                <w:bCs/>
                                <w:color w:val="262626"/>
                                <w:sz w:val="48"/>
                                <w:szCs w:val="48"/>
                              </w:rPr>
                            </w:pPr>
                            <w:r>
                              <w:rPr>
                                <w:rFonts w:ascii="黑体" w:eastAsia="黑体" w:hAnsi="黑体" w:cs="黑体" w:hint="eastAsia"/>
                                <w:b/>
                                <w:bCs/>
                                <w:color w:val="262626"/>
                                <w:sz w:val="48"/>
                                <w:szCs w:val="48"/>
                              </w:rPr>
                              <w:t>中国农工民主党北京市委员会</w:t>
                            </w:r>
                          </w:p>
                          <w:p w:rsidR="00F346E2" w:rsidRDefault="00BE79F1">
                            <w:pPr>
                              <w:jc w:val="center"/>
                              <w:rPr>
                                <w:rFonts w:ascii="黑体" w:eastAsia="黑体" w:hAnsi="黑体" w:cs="黑体"/>
                                <w:b/>
                                <w:bCs/>
                                <w:color w:val="262626"/>
                                <w:sz w:val="48"/>
                                <w:szCs w:val="48"/>
                              </w:rPr>
                            </w:pPr>
                            <w:r>
                              <w:rPr>
                                <w:rFonts w:ascii="黑体" w:eastAsia="黑体" w:hAnsi="黑体" w:cs="黑体" w:hint="eastAsia"/>
                                <w:b/>
                                <w:bCs/>
                                <w:color w:val="262626"/>
                                <w:sz w:val="48"/>
                                <w:szCs w:val="48"/>
                              </w:rPr>
                              <w:t>深圳市维度数据科技股份有限公司</w:t>
                            </w:r>
                          </w:p>
                          <w:p w:rsidR="00F346E2" w:rsidRDefault="00BE79F1">
                            <w:pPr>
                              <w:pStyle w:val="a3"/>
                              <w:ind w:firstLineChars="0" w:firstLine="0"/>
                              <w:jc w:val="center"/>
                              <w:rPr>
                                <w:rFonts w:ascii="黑体" w:eastAsia="黑体" w:hAnsi="黑体" w:cs="黑体"/>
                              </w:rPr>
                            </w:pPr>
                            <w:r>
                              <w:rPr>
                                <w:rFonts w:ascii="黑体" w:eastAsia="黑体" w:hAnsi="黑体" w:cs="黑体" w:hint="eastAsia"/>
                                <w:b/>
                                <w:bCs/>
                                <w:color w:val="262626"/>
                                <w:sz w:val="48"/>
                                <w:szCs w:val="48"/>
                              </w:rPr>
                              <w:t>2024年5月</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anchor>
            </w:drawing>
          </mc:Choice>
          <mc:Fallback>
            <w:pict>
              <v:shape id="文本框 147" o:spid="_x0000_s1027" type="#_x0000_t202" style="position:absolute;left:0;text-align:left;margin-left:-62.45pt;margin-top:503.4pt;width:542.45pt;height:15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" filled="f" stroked="f" strokeweight=".5pt">
                <v:textbox inset="2mm,2mm,2mm,2mm">
                  <w:txbxContent>
                    <w:p w:rsidR="00F346E2" w:rsidRDefault="00BE79F1">
                      <w:pPr>
                        <w:jc w:val="center"/>
                        <w:rPr>
                          <w:rFonts w:ascii="黑体" w:eastAsia="黑体" w:hAnsi="黑体" w:cs="黑体"/>
                          <w:b/>
                          <w:bCs/>
                          <w:color w:val="262626"/>
                          <w:sz w:val="48"/>
                          <w:szCs w:val="48"/>
                        </w:rPr>
                      </w:pPr>
                      <w:r>
                        <w:rPr>
                          <w:rFonts w:ascii="黑体" w:eastAsia="黑体" w:hAnsi="黑体" w:cs="黑体" w:hint="eastAsia"/>
                          <w:b/>
                          <w:bCs/>
                          <w:color w:val="262626"/>
                          <w:sz w:val="48"/>
                          <w:szCs w:val="48"/>
                        </w:rPr>
                        <w:t>中国农工民主党北京市委员会</w:t>
                      </w:r>
                    </w:p>
                    <w:p w:rsidR="00F346E2" w:rsidRDefault="00BE79F1">
                      <w:pPr>
                        <w:jc w:val="center"/>
                        <w:rPr>
                          <w:rFonts w:ascii="黑体" w:eastAsia="黑体" w:hAnsi="黑体" w:cs="黑体"/>
                          <w:b/>
                          <w:bCs/>
                          <w:color w:val="262626"/>
                          <w:sz w:val="48"/>
                          <w:szCs w:val="48"/>
                        </w:rPr>
                      </w:pPr>
                      <w:r>
                        <w:rPr>
                          <w:rFonts w:ascii="黑体" w:eastAsia="黑体" w:hAnsi="黑体" w:cs="黑体" w:hint="eastAsia"/>
                          <w:b/>
                          <w:bCs/>
                          <w:color w:val="262626"/>
                          <w:sz w:val="48"/>
                          <w:szCs w:val="48"/>
                        </w:rPr>
                        <w:t>深圳市维度数据科技股份有限公司</w:t>
                      </w:r>
                    </w:p>
                    <w:p w:rsidR="00F346E2" w:rsidRDefault="00BE79F1">
                      <w:pPr>
                        <w:pStyle w:val="a3"/>
                        <w:ind w:firstLineChars="0" w:firstLine="0"/>
                        <w:jc w:val="center"/>
                        <w:rPr>
                          <w:rFonts w:ascii="黑体" w:eastAsia="黑体" w:hAnsi="黑体" w:cs="黑体"/>
                        </w:rPr>
                      </w:pPr>
                      <w:r>
                        <w:rPr>
                          <w:rFonts w:ascii="黑体" w:eastAsia="黑体" w:hAnsi="黑体" w:cs="黑体" w:hint="eastAsia"/>
                          <w:b/>
                          <w:bCs/>
                          <w:color w:val="262626"/>
                          <w:sz w:val="48"/>
                          <w:szCs w:val="48"/>
                        </w:rPr>
                        <w:t>2024年5月</w:t>
                      </w:r>
                    </w:p>
                  </w:txbxContent>
                </v:textbox>
              </v:shape>
            </w:pict>
          </mc:Fallback>
        </mc:AlternateContent>
      </w:r>
      <w:r>
        <w:rPr>
          <w:rFonts w:ascii="仿宋" w:eastAsia="仿宋" w:hAnsi="仿宋" w:cs="仿宋" w:hint="eastAsia"/>
          <w:noProof/>
        </w:rPr>
        <w:drawing>
          <wp:anchor distT="0" distB="0" distL="114300" distR="114300" simplePos="0" relativeHeight="251663360" behindDoc="0" locked="0" layoutInCell="1" allowOverlap="1">
            <wp:simplePos x="0" y="0"/>
            <wp:positionH relativeFrom="column">
              <wp:posOffset>-866775</wp:posOffset>
            </wp:positionH>
            <wp:positionV relativeFrom="paragraph">
              <wp:posOffset>-411480</wp:posOffset>
            </wp:positionV>
            <wp:extent cx="1605280" cy="421005"/>
            <wp:effectExtent l="0" t="0" r="13970" b="17145"/>
            <wp:wrapNone/>
            <wp:docPr id="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5280" cy="421005"/>
                    </a:xfrm>
                    <a:prstGeom prst="rect">
                      <a:avLst/>
                    </a:prstGeom>
                  </pic:spPr>
                </pic:pic>
              </a:graphicData>
            </a:graphic>
          </wp:anchor>
        </w:drawing>
      </w:r>
      <w:r>
        <w:rPr>
          <w:rFonts w:ascii="仿宋" w:eastAsia="仿宋" w:hAnsi="仿宋" w:cs="仿宋" w:hint="eastAsia"/>
          <w:noProof/>
        </w:rPr>
        <w:drawing>
          <wp:anchor distT="0" distB="0" distL="114300" distR="114300" simplePos="0" relativeHeight="251662336" behindDoc="1" locked="0" layoutInCell="1" allowOverlap="1">
            <wp:simplePos x="0" y="0"/>
            <wp:positionH relativeFrom="column">
              <wp:posOffset>-1183640</wp:posOffset>
            </wp:positionH>
            <wp:positionV relativeFrom="paragraph">
              <wp:posOffset>-955040</wp:posOffset>
            </wp:positionV>
            <wp:extent cx="7672070" cy="10972165"/>
            <wp:effectExtent l="0" t="0" r="508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contrast="30000"/>
                    </a:blip>
                    <a:stretch>
                      <a:fillRect/>
                    </a:stretch>
                  </pic:blipFill>
                  <pic:spPr>
                    <a:xfrm>
                      <a:off x="0" y="0"/>
                      <a:ext cx="7672070" cy="10972165"/>
                    </a:xfrm>
                    <a:prstGeom prst="rect">
                      <a:avLst/>
                    </a:prstGeom>
                    <a:noFill/>
                    <a:ln>
                      <a:noFill/>
                    </a:ln>
                  </pic:spPr>
                </pic:pic>
              </a:graphicData>
            </a:graphic>
          </wp:anchor>
        </w:drawing>
      </w:r>
    </w:p>
    <w:sdt>
      <w:sdtPr>
        <w:rPr>
          <w:rFonts w:ascii="黑体" w:eastAsia="黑体" w:hAnsi="黑体" w:cs="黑体" w:hint="eastAsia"/>
          <w:sz w:val="44"/>
          <w:szCs w:val="44"/>
        </w:rPr>
        <w:id w:val="147459936"/>
        <w15:color w:val="DBDBDB"/>
        <w:docPartObj>
          <w:docPartGallery w:val="Table of Contents"/>
          <w:docPartUnique/>
        </w:docPartObj>
      </w:sdtPr>
      <w:sdtEndPr>
        <w:rPr>
          <w:rFonts w:asciiTheme="minorHAnsi" w:eastAsiaTheme="minorEastAsia" w:hAnsiTheme="minorHAnsi" w:cstheme="minorBidi"/>
          <w:b/>
          <w:sz w:val="21"/>
          <w:szCs w:val="24"/>
        </w:rPr>
      </w:sdtEndPr>
      <w:sdtContent>
        <w:p w:rsidR="00F346E2" w:rsidRDefault="00BE79F1">
          <w:pPr>
            <w:jc w:val="center"/>
          </w:pPr>
          <w:r>
            <w:rPr>
              <w:rFonts w:ascii="黑体" w:eastAsia="黑体" w:hAnsi="黑体" w:cs="黑体" w:hint="eastAsia"/>
              <w:sz w:val="44"/>
              <w:szCs w:val="44"/>
            </w:rPr>
            <w:t>目 录</w:t>
          </w:r>
          <w:r>
            <w:fldChar w:fldCharType="begin"/>
          </w:r>
          <w:r>
            <w:instrText xml:space="preserve">TOC \o "1-2" \h \u </w:instrText>
          </w:r>
          <w:r>
            <w:fldChar w:fldCharType="separate"/>
          </w:r>
        </w:p>
        <w:p w:rsidR="00F346E2" w:rsidRDefault="00FF22F6">
          <w:pPr>
            <w:pStyle w:val="10"/>
            <w:tabs>
              <w:tab w:val="right" w:leader="dot" w:pos="8306"/>
            </w:tabs>
            <w:rPr>
              <w:rFonts w:ascii="黑体" w:eastAsia="黑体" w:hAnsi="黑体" w:cs="黑体"/>
              <w:sz w:val="32"/>
              <w:szCs w:val="32"/>
            </w:rPr>
          </w:pPr>
          <w:hyperlink w:anchor="_Toc9146" w:history="1">
            <w:r w:rsidR="00BE79F1">
              <w:rPr>
                <w:rFonts w:ascii="黑体" w:eastAsia="黑体" w:hAnsi="黑体" w:cs="黑体" w:hint="eastAsia"/>
                <w:bCs/>
                <w:sz w:val="32"/>
                <w:szCs w:val="32"/>
              </w:rPr>
              <w:t>一、部门概况</w:t>
            </w:r>
            <w:r w:rsidR="00BE79F1">
              <w:rPr>
                <w:rFonts w:ascii="黑体" w:eastAsia="黑体" w:hAnsi="黑体" w:cs="黑体" w:hint="eastAsia"/>
                <w:sz w:val="32"/>
                <w:szCs w:val="32"/>
              </w:rPr>
              <w:tab/>
            </w:r>
            <w:r w:rsidR="00BE79F1">
              <w:rPr>
                <w:rFonts w:ascii="黑体" w:eastAsia="黑体" w:hAnsi="黑体" w:cs="黑体" w:hint="eastAsia"/>
                <w:sz w:val="32"/>
                <w:szCs w:val="32"/>
              </w:rPr>
              <w:fldChar w:fldCharType="begin"/>
            </w:r>
            <w:r w:rsidR="00BE79F1">
              <w:rPr>
                <w:rFonts w:ascii="黑体" w:eastAsia="黑体" w:hAnsi="黑体" w:cs="黑体" w:hint="eastAsia"/>
                <w:sz w:val="32"/>
                <w:szCs w:val="32"/>
              </w:rPr>
              <w:instrText xml:space="preserve"> PAGEREF _Toc9146 \h </w:instrText>
            </w:r>
            <w:r w:rsidR="00BE79F1">
              <w:rPr>
                <w:rFonts w:ascii="黑体" w:eastAsia="黑体" w:hAnsi="黑体" w:cs="黑体" w:hint="eastAsia"/>
                <w:sz w:val="32"/>
                <w:szCs w:val="32"/>
              </w:rPr>
            </w:r>
            <w:r w:rsidR="00BE79F1">
              <w:rPr>
                <w:rFonts w:ascii="黑体" w:eastAsia="黑体" w:hAnsi="黑体" w:cs="黑体" w:hint="eastAsia"/>
                <w:sz w:val="32"/>
                <w:szCs w:val="32"/>
              </w:rPr>
              <w:fldChar w:fldCharType="separate"/>
            </w:r>
            <w:r w:rsidR="00BE79F1">
              <w:rPr>
                <w:rFonts w:ascii="黑体" w:eastAsia="黑体" w:hAnsi="黑体" w:cs="黑体" w:hint="eastAsia"/>
                <w:sz w:val="32"/>
                <w:szCs w:val="32"/>
              </w:rPr>
              <w:t>1</w:t>
            </w:r>
            <w:r w:rsidR="00BE79F1">
              <w:rPr>
                <w:rFonts w:ascii="黑体" w:eastAsia="黑体" w:hAnsi="黑体" w:cs="黑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26666" w:history="1">
            <w:r w:rsidR="00BE79F1">
              <w:rPr>
                <w:rFonts w:ascii="楷体" w:eastAsia="楷体" w:hAnsi="楷体" w:cs="楷体" w:hint="eastAsia"/>
                <w:bCs/>
                <w:sz w:val="32"/>
                <w:szCs w:val="32"/>
              </w:rPr>
              <w:t>（一）机构设置及职责工作任务情况</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_Toc26666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w:t>
            </w:r>
            <w:r w:rsidR="00BE79F1">
              <w:rPr>
                <w:rFonts w:ascii="楷体" w:eastAsia="楷体" w:hAnsi="楷体" w:cs="楷体" w:hint="eastAsia"/>
                <w:sz w:val="32"/>
                <w:szCs w:val="32"/>
              </w:rPr>
              <w:fldChar w:fldCharType="end"/>
            </w:r>
          </w:hyperlink>
        </w:p>
        <w:p w:rsidR="00F346E2" w:rsidRDefault="00FF22F6">
          <w:pPr>
            <w:pStyle w:val="20"/>
            <w:tabs>
              <w:tab w:val="right" w:leader="dot" w:pos="8306"/>
            </w:tabs>
          </w:pPr>
          <w:hyperlink w:anchor="_Toc4100" w:history="1">
            <w:r w:rsidR="00BE79F1">
              <w:rPr>
                <w:rFonts w:ascii="楷体" w:eastAsia="楷体" w:hAnsi="楷体" w:cs="楷体" w:hint="eastAsia"/>
                <w:bCs/>
                <w:sz w:val="32"/>
                <w:szCs w:val="32"/>
              </w:rPr>
              <w:t>（二）部门整体绩效目标设立情况</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_Toc4100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3</w:t>
            </w:r>
            <w:r w:rsidR="00BE79F1">
              <w:rPr>
                <w:rFonts w:ascii="楷体" w:eastAsia="楷体" w:hAnsi="楷体" w:cs="楷体" w:hint="eastAsia"/>
                <w:sz w:val="32"/>
                <w:szCs w:val="32"/>
              </w:rPr>
              <w:fldChar w:fldCharType="end"/>
            </w:r>
          </w:hyperlink>
        </w:p>
        <w:p w:rsidR="00F346E2" w:rsidRDefault="00FF22F6">
          <w:pPr>
            <w:pStyle w:val="10"/>
            <w:tabs>
              <w:tab w:val="right" w:leader="dot" w:pos="8306"/>
            </w:tabs>
            <w:rPr>
              <w:rFonts w:ascii="黑体" w:eastAsia="黑体" w:hAnsi="黑体" w:cs="黑体"/>
              <w:sz w:val="32"/>
              <w:szCs w:val="32"/>
            </w:rPr>
          </w:pPr>
          <w:hyperlink w:anchor="_Toc5418" w:history="1">
            <w:r w:rsidR="00BE79F1">
              <w:rPr>
                <w:rFonts w:ascii="黑体" w:eastAsia="黑体" w:hAnsi="黑体" w:cs="黑体" w:hint="eastAsia"/>
                <w:sz w:val="32"/>
                <w:szCs w:val="32"/>
              </w:rPr>
              <w:t>二、当年预算执行情况</w:t>
            </w:r>
            <w:r w:rsidR="00BE79F1">
              <w:rPr>
                <w:rFonts w:ascii="黑体" w:eastAsia="黑体" w:hAnsi="黑体" w:cs="黑体" w:hint="eastAsia"/>
                <w:sz w:val="32"/>
                <w:szCs w:val="32"/>
              </w:rPr>
              <w:tab/>
            </w:r>
            <w:r w:rsidR="00BE79F1">
              <w:rPr>
                <w:rFonts w:ascii="黑体" w:eastAsia="黑体" w:hAnsi="黑体" w:cs="黑体" w:hint="eastAsia"/>
                <w:sz w:val="32"/>
                <w:szCs w:val="32"/>
              </w:rPr>
              <w:fldChar w:fldCharType="begin"/>
            </w:r>
            <w:r w:rsidR="00BE79F1">
              <w:rPr>
                <w:rFonts w:ascii="黑体" w:eastAsia="黑体" w:hAnsi="黑体" w:cs="黑体" w:hint="eastAsia"/>
                <w:sz w:val="32"/>
                <w:szCs w:val="32"/>
              </w:rPr>
              <w:instrText xml:space="preserve"> PAGEREF _Toc5418 \h </w:instrText>
            </w:r>
            <w:r w:rsidR="00BE79F1">
              <w:rPr>
                <w:rFonts w:ascii="黑体" w:eastAsia="黑体" w:hAnsi="黑体" w:cs="黑体" w:hint="eastAsia"/>
                <w:sz w:val="32"/>
                <w:szCs w:val="32"/>
              </w:rPr>
            </w:r>
            <w:r w:rsidR="00BE79F1">
              <w:rPr>
                <w:rFonts w:ascii="黑体" w:eastAsia="黑体" w:hAnsi="黑体" w:cs="黑体" w:hint="eastAsia"/>
                <w:sz w:val="32"/>
                <w:szCs w:val="32"/>
              </w:rPr>
              <w:fldChar w:fldCharType="separate"/>
            </w:r>
            <w:r w:rsidR="00BE79F1">
              <w:rPr>
                <w:rFonts w:ascii="黑体" w:eastAsia="黑体" w:hAnsi="黑体" w:cs="黑体" w:hint="eastAsia"/>
                <w:sz w:val="32"/>
                <w:szCs w:val="32"/>
              </w:rPr>
              <w:t>4</w:t>
            </w:r>
            <w:r w:rsidR="00BE79F1">
              <w:rPr>
                <w:rFonts w:ascii="黑体" w:eastAsia="黑体" w:hAnsi="黑体" w:cs="黑体" w:hint="eastAsia"/>
                <w:sz w:val="32"/>
                <w:szCs w:val="32"/>
              </w:rPr>
              <w:fldChar w:fldCharType="end"/>
            </w:r>
          </w:hyperlink>
        </w:p>
        <w:p w:rsidR="00F346E2" w:rsidRDefault="00FF22F6">
          <w:pPr>
            <w:pStyle w:val="10"/>
            <w:tabs>
              <w:tab w:val="right" w:leader="dot" w:pos="8306"/>
            </w:tabs>
          </w:pPr>
          <w:hyperlink w:anchor="_Toc15115" w:history="1">
            <w:r w:rsidR="00BE79F1">
              <w:rPr>
                <w:rFonts w:ascii="黑体" w:eastAsia="黑体" w:hAnsi="黑体" w:cs="黑体" w:hint="eastAsia"/>
                <w:sz w:val="32"/>
                <w:szCs w:val="32"/>
              </w:rPr>
              <w:t>三、整体绩效目标实现情况</w:t>
            </w:r>
            <w:r w:rsidR="00BE79F1">
              <w:rPr>
                <w:rFonts w:ascii="黑体" w:eastAsia="黑体" w:hAnsi="黑体" w:cs="黑体" w:hint="eastAsia"/>
                <w:sz w:val="32"/>
                <w:szCs w:val="32"/>
              </w:rPr>
              <w:tab/>
            </w:r>
            <w:r w:rsidR="00BE79F1">
              <w:rPr>
                <w:rFonts w:ascii="黑体" w:eastAsia="黑体" w:hAnsi="黑体" w:cs="黑体" w:hint="eastAsia"/>
                <w:sz w:val="32"/>
                <w:szCs w:val="32"/>
              </w:rPr>
              <w:fldChar w:fldCharType="begin"/>
            </w:r>
            <w:r w:rsidR="00BE79F1">
              <w:rPr>
                <w:rFonts w:ascii="黑体" w:eastAsia="黑体" w:hAnsi="黑体" w:cs="黑体" w:hint="eastAsia"/>
                <w:sz w:val="32"/>
                <w:szCs w:val="32"/>
              </w:rPr>
              <w:instrText xml:space="preserve"> PAGEREF _Toc15115 \h </w:instrText>
            </w:r>
            <w:r w:rsidR="00BE79F1">
              <w:rPr>
                <w:rFonts w:ascii="黑体" w:eastAsia="黑体" w:hAnsi="黑体" w:cs="黑体" w:hint="eastAsia"/>
                <w:sz w:val="32"/>
                <w:szCs w:val="32"/>
              </w:rPr>
            </w:r>
            <w:r w:rsidR="00BE79F1">
              <w:rPr>
                <w:rFonts w:ascii="黑体" w:eastAsia="黑体" w:hAnsi="黑体" w:cs="黑体" w:hint="eastAsia"/>
                <w:sz w:val="32"/>
                <w:szCs w:val="32"/>
              </w:rPr>
              <w:fldChar w:fldCharType="separate"/>
            </w:r>
            <w:r w:rsidR="00BE79F1">
              <w:rPr>
                <w:rFonts w:ascii="黑体" w:eastAsia="黑体" w:hAnsi="黑体" w:cs="黑体" w:hint="eastAsia"/>
                <w:sz w:val="32"/>
                <w:szCs w:val="32"/>
              </w:rPr>
              <w:t>5</w:t>
            </w:r>
            <w:r w:rsidR="00BE79F1">
              <w:rPr>
                <w:rFonts w:ascii="黑体" w:eastAsia="黑体" w:hAnsi="黑体" w:cs="黑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26396" w:history="1">
            <w:r w:rsidR="00BE79F1">
              <w:rPr>
                <w:rFonts w:ascii="楷体" w:eastAsia="楷体" w:hAnsi="楷体" w:cs="楷体" w:hint="eastAsia"/>
                <w:sz w:val="32"/>
                <w:szCs w:val="32"/>
              </w:rPr>
              <w:t>（一）产出完成情况分析</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_Toc26396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5</w:t>
            </w:r>
            <w:r w:rsidR="00BE79F1">
              <w:rPr>
                <w:rFonts w:ascii="楷体" w:eastAsia="楷体" w:hAnsi="楷体" w:cs="楷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4284" w:history="1">
            <w:r w:rsidR="00BE79F1">
              <w:rPr>
                <w:rFonts w:ascii="楷体" w:eastAsia="楷体" w:hAnsi="楷体" w:cs="楷体" w:hint="eastAsia"/>
                <w:sz w:val="32"/>
                <w:szCs w:val="32"/>
              </w:rPr>
              <w:t>（二）效果实现情况分析</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_Toc4284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8</w:t>
            </w:r>
            <w:r w:rsidR="00BE79F1">
              <w:rPr>
                <w:rFonts w:ascii="楷体" w:eastAsia="楷体" w:hAnsi="楷体" w:cs="楷体" w:hint="eastAsia"/>
                <w:sz w:val="32"/>
                <w:szCs w:val="32"/>
              </w:rPr>
              <w:fldChar w:fldCharType="end"/>
            </w:r>
          </w:hyperlink>
        </w:p>
        <w:p w:rsidR="00F346E2" w:rsidRDefault="00FF22F6">
          <w:pPr>
            <w:pStyle w:val="10"/>
            <w:tabs>
              <w:tab w:val="right" w:leader="dot" w:pos="8306"/>
            </w:tabs>
            <w:rPr>
              <w:rFonts w:ascii="黑体" w:eastAsia="黑体" w:hAnsi="黑体" w:cs="黑体"/>
              <w:sz w:val="32"/>
              <w:szCs w:val="32"/>
            </w:rPr>
          </w:pPr>
          <w:hyperlink w:anchor="_Toc13720" w:history="1">
            <w:r w:rsidR="00BE79F1">
              <w:rPr>
                <w:rFonts w:ascii="黑体" w:eastAsia="黑体" w:hAnsi="黑体" w:cs="黑体" w:hint="eastAsia"/>
                <w:sz w:val="32"/>
                <w:szCs w:val="32"/>
              </w:rPr>
              <w:t>四、预算管理情况分析</w:t>
            </w:r>
            <w:r w:rsidR="00BE79F1">
              <w:rPr>
                <w:rFonts w:ascii="黑体" w:eastAsia="黑体" w:hAnsi="黑体" w:cs="黑体" w:hint="eastAsia"/>
                <w:sz w:val="32"/>
                <w:szCs w:val="32"/>
              </w:rPr>
              <w:tab/>
            </w:r>
            <w:r w:rsidR="00BE79F1">
              <w:rPr>
                <w:rFonts w:ascii="黑体" w:eastAsia="黑体" w:hAnsi="黑体" w:cs="黑体" w:hint="eastAsia"/>
                <w:sz w:val="32"/>
                <w:szCs w:val="32"/>
              </w:rPr>
              <w:fldChar w:fldCharType="begin"/>
            </w:r>
            <w:r w:rsidR="00BE79F1">
              <w:rPr>
                <w:rFonts w:ascii="黑体" w:eastAsia="黑体" w:hAnsi="黑体" w:cs="黑体" w:hint="eastAsia"/>
                <w:sz w:val="32"/>
                <w:szCs w:val="32"/>
              </w:rPr>
              <w:instrText xml:space="preserve"> PAGEREF _Toc13720 \h </w:instrText>
            </w:r>
            <w:r w:rsidR="00BE79F1">
              <w:rPr>
                <w:rFonts w:ascii="黑体" w:eastAsia="黑体" w:hAnsi="黑体" w:cs="黑体" w:hint="eastAsia"/>
                <w:sz w:val="32"/>
                <w:szCs w:val="32"/>
              </w:rPr>
            </w:r>
            <w:r w:rsidR="00BE79F1">
              <w:rPr>
                <w:rFonts w:ascii="黑体" w:eastAsia="黑体" w:hAnsi="黑体" w:cs="黑体" w:hint="eastAsia"/>
                <w:sz w:val="32"/>
                <w:szCs w:val="32"/>
              </w:rPr>
              <w:fldChar w:fldCharType="separate"/>
            </w:r>
            <w:r w:rsidR="00BE79F1">
              <w:rPr>
                <w:rFonts w:ascii="黑体" w:eastAsia="黑体" w:hAnsi="黑体" w:cs="黑体" w:hint="eastAsia"/>
                <w:sz w:val="32"/>
                <w:szCs w:val="32"/>
              </w:rPr>
              <w:t>10</w:t>
            </w:r>
            <w:r w:rsidR="00BE79F1">
              <w:rPr>
                <w:rFonts w:ascii="黑体" w:eastAsia="黑体" w:hAnsi="黑体" w:cs="黑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8253" w:history="1">
            <w:r w:rsidR="00BE79F1">
              <w:rPr>
                <w:rFonts w:ascii="楷体" w:eastAsia="楷体" w:hAnsi="楷体" w:cs="楷体" w:hint="eastAsia"/>
                <w:sz w:val="32"/>
                <w:szCs w:val="32"/>
              </w:rPr>
              <w:t>（一）财务管理</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_Toc8253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10</w:t>
            </w:r>
            <w:r w:rsidR="00BE79F1">
              <w:rPr>
                <w:rFonts w:ascii="楷体" w:eastAsia="楷体" w:hAnsi="楷体" w:cs="楷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22867" w:history="1">
            <w:r w:rsidR="00BE79F1">
              <w:rPr>
                <w:rFonts w:ascii="楷体" w:eastAsia="楷体" w:hAnsi="楷体" w:cs="楷体" w:hint="eastAsia"/>
                <w:sz w:val="32"/>
                <w:szCs w:val="32"/>
              </w:rPr>
              <w:t>（二）资产管理</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_Toc22867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11</w:t>
            </w:r>
            <w:r w:rsidR="00BE79F1">
              <w:rPr>
                <w:rFonts w:ascii="楷体" w:eastAsia="楷体" w:hAnsi="楷体" w:cs="楷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29941" w:history="1">
            <w:r w:rsidR="00BE79F1">
              <w:rPr>
                <w:rFonts w:ascii="楷体" w:eastAsia="楷体" w:hAnsi="楷体" w:cs="楷体" w:hint="eastAsia"/>
                <w:sz w:val="32"/>
                <w:szCs w:val="32"/>
              </w:rPr>
              <w:t>（三）绩效管理</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_Toc29941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12</w:t>
            </w:r>
            <w:r w:rsidR="00BE79F1">
              <w:rPr>
                <w:rFonts w:ascii="楷体" w:eastAsia="楷体" w:hAnsi="楷体" w:cs="楷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30607" w:history="1">
            <w:r w:rsidR="00BE79F1">
              <w:rPr>
                <w:rFonts w:ascii="楷体" w:eastAsia="楷体" w:hAnsi="楷体" w:cs="楷体" w:hint="eastAsia"/>
                <w:sz w:val="32"/>
                <w:szCs w:val="32"/>
              </w:rPr>
              <w:t>（四）结转结余率</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_Toc30607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12</w:t>
            </w:r>
            <w:r w:rsidR="00BE79F1">
              <w:rPr>
                <w:rFonts w:ascii="楷体" w:eastAsia="楷体" w:hAnsi="楷体" w:cs="楷体" w:hint="eastAsia"/>
                <w:sz w:val="32"/>
                <w:szCs w:val="32"/>
              </w:rPr>
              <w:fldChar w:fldCharType="end"/>
            </w:r>
          </w:hyperlink>
        </w:p>
        <w:p w:rsidR="00F346E2" w:rsidRDefault="00FF22F6">
          <w:pPr>
            <w:pStyle w:val="20"/>
            <w:tabs>
              <w:tab w:val="right" w:leader="dot" w:pos="8306"/>
            </w:tabs>
          </w:pPr>
          <w:hyperlink w:anchor="_Toc12463" w:history="1">
            <w:r w:rsidR="00BE79F1">
              <w:rPr>
                <w:rFonts w:ascii="楷体" w:eastAsia="楷体" w:hAnsi="楷体" w:cs="楷体" w:hint="eastAsia"/>
                <w:sz w:val="32"/>
                <w:szCs w:val="32"/>
              </w:rPr>
              <w:t>（五）部门预决算差异率</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_Toc12463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13</w:t>
            </w:r>
            <w:r w:rsidR="00BE79F1">
              <w:rPr>
                <w:rFonts w:ascii="楷体" w:eastAsia="楷体" w:hAnsi="楷体" w:cs="楷体" w:hint="eastAsia"/>
                <w:sz w:val="32"/>
                <w:szCs w:val="32"/>
              </w:rPr>
              <w:fldChar w:fldCharType="end"/>
            </w:r>
          </w:hyperlink>
        </w:p>
        <w:p w:rsidR="00F346E2" w:rsidRDefault="00FF22F6">
          <w:pPr>
            <w:pStyle w:val="10"/>
            <w:tabs>
              <w:tab w:val="right" w:leader="dot" w:pos="8306"/>
            </w:tabs>
            <w:rPr>
              <w:rFonts w:ascii="黑体" w:eastAsia="黑体" w:hAnsi="黑体" w:cs="黑体"/>
              <w:sz w:val="32"/>
              <w:szCs w:val="32"/>
            </w:rPr>
          </w:pPr>
          <w:hyperlink w:anchor="_Toc15933" w:history="1">
            <w:r w:rsidR="00BE79F1">
              <w:rPr>
                <w:rFonts w:ascii="黑体" w:eastAsia="黑体" w:hAnsi="黑体" w:cs="黑体" w:hint="eastAsia"/>
                <w:sz w:val="32"/>
                <w:szCs w:val="32"/>
              </w:rPr>
              <w:t>五、总体评价结论</w:t>
            </w:r>
            <w:r w:rsidR="00BE79F1">
              <w:rPr>
                <w:rFonts w:ascii="黑体" w:eastAsia="黑体" w:hAnsi="黑体" w:cs="黑体" w:hint="eastAsia"/>
                <w:sz w:val="32"/>
                <w:szCs w:val="32"/>
              </w:rPr>
              <w:tab/>
            </w:r>
            <w:r w:rsidR="00BE79F1">
              <w:rPr>
                <w:rFonts w:ascii="黑体" w:eastAsia="黑体" w:hAnsi="黑体" w:cs="黑体" w:hint="eastAsia"/>
                <w:sz w:val="32"/>
                <w:szCs w:val="32"/>
              </w:rPr>
              <w:fldChar w:fldCharType="begin"/>
            </w:r>
            <w:r w:rsidR="00BE79F1">
              <w:rPr>
                <w:rFonts w:ascii="黑体" w:eastAsia="黑体" w:hAnsi="黑体" w:cs="黑体" w:hint="eastAsia"/>
                <w:sz w:val="32"/>
                <w:szCs w:val="32"/>
              </w:rPr>
              <w:instrText xml:space="preserve"> PAGEREF _Toc15933 \h </w:instrText>
            </w:r>
            <w:r w:rsidR="00BE79F1">
              <w:rPr>
                <w:rFonts w:ascii="黑体" w:eastAsia="黑体" w:hAnsi="黑体" w:cs="黑体" w:hint="eastAsia"/>
                <w:sz w:val="32"/>
                <w:szCs w:val="32"/>
              </w:rPr>
            </w:r>
            <w:r w:rsidR="00BE79F1">
              <w:rPr>
                <w:rFonts w:ascii="黑体" w:eastAsia="黑体" w:hAnsi="黑体" w:cs="黑体" w:hint="eastAsia"/>
                <w:sz w:val="32"/>
                <w:szCs w:val="32"/>
              </w:rPr>
              <w:fldChar w:fldCharType="separate"/>
            </w:r>
            <w:r w:rsidR="00BE79F1">
              <w:rPr>
                <w:rFonts w:ascii="黑体" w:eastAsia="黑体" w:hAnsi="黑体" w:cs="黑体" w:hint="eastAsia"/>
                <w:sz w:val="32"/>
                <w:szCs w:val="32"/>
              </w:rPr>
              <w:t>13</w:t>
            </w:r>
            <w:r w:rsidR="00BE79F1">
              <w:rPr>
                <w:rFonts w:ascii="黑体" w:eastAsia="黑体" w:hAnsi="黑体" w:cs="黑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14263" w:history="1">
            <w:r w:rsidR="00BE79F1">
              <w:rPr>
                <w:rFonts w:ascii="楷体" w:eastAsia="楷体" w:hAnsi="楷体" w:cs="楷体" w:hint="eastAsia"/>
                <w:sz w:val="32"/>
                <w:szCs w:val="32"/>
              </w:rPr>
              <w:t>（一）评价得分情况</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_Toc14263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13</w:t>
            </w:r>
            <w:r w:rsidR="00BE79F1">
              <w:rPr>
                <w:rFonts w:ascii="楷体" w:eastAsia="楷体" w:hAnsi="楷体" w:cs="楷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15884" w:history="1">
            <w:r w:rsidR="00BE79F1">
              <w:rPr>
                <w:rFonts w:ascii="楷体" w:eastAsia="楷体" w:hAnsi="楷体" w:cs="楷体" w:hint="eastAsia"/>
                <w:sz w:val="32"/>
                <w:szCs w:val="32"/>
              </w:rPr>
              <w:t>（二）部门整体支出所实现的主要绩效</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_Toc15884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15</w:t>
            </w:r>
            <w:r w:rsidR="00BE79F1">
              <w:rPr>
                <w:rFonts w:ascii="楷体" w:eastAsia="楷体" w:hAnsi="楷体" w:cs="楷体" w:hint="eastAsia"/>
                <w:sz w:val="32"/>
                <w:szCs w:val="32"/>
              </w:rPr>
              <w:fldChar w:fldCharType="end"/>
            </w:r>
          </w:hyperlink>
        </w:p>
        <w:p w:rsidR="00F346E2" w:rsidRDefault="00FF22F6">
          <w:pPr>
            <w:pStyle w:val="10"/>
            <w:tabs>
              <w:tab w:val="right" w:leader="dot" w:pos="8306"/>
            </w:tabs>
            <w:rPr>
              <w:rFonts w:ascii="黑体" w:eastAsia="黑体" w:hAnsi="黑体" w:cs="黑体"/>
              <w:sz w:val="32"/>
              <w:szCs w:val="32"/>
            </w:rPr>
          </w:pPr>
          <w:hyperlink w:anchor="_Toc1845" w:history="1">
            <w:r w:rsidR="00BE79F1">
              <w:rPr>
                <w:rFonts w:ascii="黑体" w:eastAsia="黑体" w:hAnsi="黑体" w:cs="黑体" w:hint="eastAsia"/>
                <w:sz w:val="32"/>
                <w:szCs w:val="32"/>
              </w:rPr>
              <w:t>六、存在的问题及相关建议</w:t>
            </w:r>
            <w:r w:rsidR="00BE79F1">
              <w:rPr>
                <w:rFonts w:ascii="黑体" w:eastAsia="黑体" w:hAnsi="黑体" w:cs="黑体" w:hint="eastAsia"/>
                <w:sz w:val="32"/>
                <w:szCs w:val="32"/>
              </w:rPr>
              <w:tab/>
            </w:r>
            <w:r w:rsidR="00BE79F1">
              <w:rPr>
                <w:rFonts w:ascii="黑体" w:eastAsia="黑体" w:hAnsi="黑体" w:cs="黑体" w:hint="eastAsia"/>
                <w:sz w:val="32"/>
                <w:szCs w:val="32"/>
              </w:rPr>
              <w:fldChar w:fldCharType="begin"/>
            </w:r>
            <w:r w:rsidR="00BE79F1">
              <w:rPr>
                <w:rFonts w:ascii="黑体" w:eastAsia="黑体" w:hAnsi="黑体" w:cs="黑体" w:hint="eastAsia"/>
                <w:sz w:val="32"/>
                <w:szCs w:val="32"/>
              </w:rPr>
              <w:instrText xml:space="preserve"> PAGEREF _Toc1845 \h </w:instrText>
            </w:r>
            <w:r w:rsidR="00BE79F1">
              <w:rPr>
                <w:rFonts w:ascii="黑体" w:eastAsia="黑体" w:hAnsi="黑体" w:cs="黑体" w:hint="eastAsia"/>
                <w:sz w:val="32"/>
                <w:szCs w:val="32"/>
              </w:rPr>
            </w:r>
            <w:r w:rsidR="00BE79F1">
              <w:rPr>
                <w:rFonts w:ascii="黑体" w:eastAsia="黑体" w:hAnsi="黑体" w:cs="黑体" w:hint="eastAsia"/>
                <w:sz w:val="32"/>
                <w:szCs w:val="32"/>
              </w:rPr>
              <w:fldChar w:fldCharType="separate"/>
            </w:r>
            <w:r w:rsidR="00BE79F1">
              <w:rPr>
                <w:rFonts w:ascii="黑体" w:eastAsia="黑体" w:hAnsi="黑体" w:cs="黑体" w:hint="eastAsia"/>
                <w:sz w:val="32"/>
                <w:szCs w:val="32"/>
              </w:rPr>
              <w:t>18</w:t>
            </w:r>
            <w:r w:rsidR="00BE79F1">
              <w:rPr>
                <w:rFonts w:ascii="黑体" w:eastAsia="黑体" w:hAnsi="黑体" w:cs="黑体" w:hint="eastAsia"/>
                <w:sz w:val="32"/>
                <w:szCs w:val="32"/>
              </w:rPr>
              <w:fldChar w:fldCharType="end"/>
            </w:r>
          </w:hyperlink>
        </w:p>
        <w:p w:rsidR="00F346E2" w:rsidRDefault="00FF22F6">
          <w:pPr>
            <w:pStyle w:val="20"/>
            <w:tabs>
              <w:tab w:val="right" w:leader="dot" w:pos="8306"/>
            </w:tabs>
            <w:rPr>
              <w:rFonts w:ascii="楷体" w:eastAsia="楷体" w:hAnsi="楷体" w:cs="楷体"/>
              <w:sz w:val="32"/>
              <w:szCs w:val="32"/>
            </w:rPr>
          </w:pPr>
          <w:hyperlink w:anchor="_Toc14831" w:history="1">
            <w:r w:rsidR="00BE79F1">
              <w:rPr>
                <w:rFonts w:ascii="楷体" w:eastAsia="楷体" w:hAnsi="楷体" w:cs="楷体" w:hint="eastAsia"/>
                <w:sz w:val="32"/>
                <w:szCs w:val="32"/>
              </w:rPr>
              <w:t>（一）存在的主要问题</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_Toc14831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18</w:t>
            </w:r>
            <w:r w:rsidR="00BE79F1">
              <w:rPr>
                <w:rFonts w:ascii="楷体" w:eastAsia="楷体" w:hAnsi="楷体" w:cs="楷体" w:hint="eastAsia"/>
                <w:sz w:val="32"/>
                <w:szCs w:val="32"/>
              </w:rPr>
              <w:fldChar w:fldCharType="end"/>
            </w:r>
          </w:hyperlink>
        </w:p>
        <w:p w:rsidR="00F346E2" w:rsidRDefault="00FF22F6">
          <w:pPr>
            <w:pStyle w:val="20"/>
            <w:tabs>
              <w:tab w:val="right" w:leader="dot" w:pos="8306"/>
            </w:tabs>
          </w:pPr>
          <w:hyperlink w:anchor="_Toc20242" w:history="1">
            <w:r w:rsidR="00BE79F1">
              <w:rPr>
                <w:rFonts w:ascii="楷体" w:eastAsia="楷体" w:hAnsi="楷体" w:cs="楷体" w:hint="eastAsia"/>
                <w:sz w:val="32"/>
                <w:szCs w:val="32"/>
              </w:rPr>
              <w:t>（二）相关建议</w:t>
            </w:r>
            <w:r w:rsidR="00BE79F1">
              <w:rPr>
                <w:rFonts w:ascii="楷体" w:eastAsia="楷体" w:hAnsi="楷体" w:cs="楷体" w:hint="eastAsia"/>
                <w:sz w:val="32"/>
                <w:szCs w:val="32"/>
              </w:rPr>
              <w:tab/>
            </w:r>
            <w:r w:rsidR="00BE79F1">
              <w:rPr>
                <w:rFonts w:ascii="楷体" w:eastAsia="楷体" w:hAnsi="楷体" w:cs="楷体" w:hint="eastAsia"/>
                <w:sz w:val="32"/>
                <w:szCs w:val="32"/>
              </w:rPr>
              <w:fldChar w:fldCharType="begin"/>
            </w:r>
            <w:r w:rsidR="00BE79F1">
              <w:rPr>
                <w:rFonts w:ascii="楷体" w:eastAsia="楷体" w:hAnsi="楷体" w:cs="楷体" w:hint="eastAsia"/>
                <w:sz w:val="32"/>
                <w:szCs w:val="32"/>
              </w:rPr>
              <w:instrText xml:space="preserve"> PAGEREF _Toc20242 \h </w:instrText>
            </w:r>
            <w:r w:rsidR="00BE79F1">
              <w:rPr>
                <w:rFonts w:ascii="楷体" w:eastAsia="楷体" w:hAnsi="楷体" w:cs="楷体" w:hint="eastAsia"/>
                <w:sz w:val="32"/>
                <w:szCs w:val="32"/>
              </w:rPr>
            </w:r>
            <w:r w:rsidR="00BE79F1">
              <w:rPr>
                <w:rFonts w:ascii="楷体" w:eastAsia="楷体" w:hAnsi="楷体" w:cs="楷体" w:hint="eastAsia"/>
                <w:sz w:val="32"/>
                <w:szCs w:val="32"/>
              </w:rPr>
              <w:fldChar w:fldCharType="separate"/>
            </w:r>
            <w:r w:rsidR="00BE79F1">
              <w:rPr>
                <w:rFonts w:ascii="楷体" w:eastAsia="楷体" w:hAnsi="楷体" w:cs="楷体" w:hint="eastAsia"/>
                <w:sz w:val="32"/>
                <w:szCs w:val="32"/>
              </w:rPr>
              <w:t>19</w:t>
            </w:r>
            <w:r w:rsidR="00BE79F1">
              <w:rPr>
                <w:rFonts w:ascii="楷体" w:eastAsia="楷体" w:hAnsi="楷体" w:cs="楷体" w:hint="eastAsia"/>
                <w:sz w:val="32"/>
                <w:szCs w:val="32"/>
              </w:rPr>
              <w:fldChar w:fldCharType="end"/>
            </w:r>
          </w:hyperlink>
        </w:p>
        <w:p w:rsidR="00F346E2" w:rsidRDefault="00FF22F6">
          <w:pPr>
            <w:pStyle w:val="10"/>
            <w:tabs>
              <w:tab w:val="right" w:leader="dot" w:pos="8306"/>
            </w:tabs>
            <w:rPr>
              <w:rFonts w:ascii="黑体" w:eastAsia="黑体" w:hAnsi="黑体" w:cs="黑体"/>
              <w:sz w:val="32"/>
              <w:szCs w:val="32"/>
            </w:rPr>
          </w:pPr>
          <w:hyperlink w:anchor="_Toc16359" w:history="1">
            <w:r w:rsidR="00BE79F1">
              <w:rPr>
                <w:rFonts w:ascii="黑体" w:eastAsia="黑体" w:hAnsi="黑体" w:cs="黑体" w:hint="eastAsia"/>
                <w:sz w:val="32"/>
                <w:szCs w:val="32"/>
              </w:rPr>
              <w:t>附件1：2023年部门整体绩效评价指标体系评分表</w:t>
            </w:r>
            <w:r w:rsidR="00BE79F1">
              <w:rPr>
                <w:rFonts w:ascii="黑体" w:eastAsia="黑体" w:hAnsi="黑体" w:cs="黑体" w:hint="eastAsia"/>
                <w:sz w:val="32"/>
                <w:szCs w:val="32"/>
              </w:rPr>
              <w:tab/>
            </w:r>
            <w:r w:rsidR="00BE79F1">
              <w:rPr>
                <w:rFonts w:ascii="黑体" w:eastAsia="黑体" w:hAnsi="黑体" w:cs="黑体" w:hint="eastAsia"/>
                <w:sz w:val="32"/>
                <w:szCs w:val="32"/>
              </w:rPr>
              <w:fldChar w:fldCharType="begin"/>
            </w:r>
            <w:r w:rsidR="00BE79F1">
              <w:rPr>
                <w:rFonts w:ascii="黑体" w:eastAsia="黑体" w:hAnsi="黑体" w:cs="黑体" w:hint="eastAsia"/>
                <w:sz w:val="32"/>
                <w:szCs w:val="32"/>
              </w:rPr>
              <w:instrText xml:space="preserve"> PAGEREF _Toc16359 \h </w:instrText>
            </w:r>
            <w:r w:rsidR="00BE79F1">
              <w:rPr>
                <w:rFonts w:ascii="黑体" w:eastAsia="黑体" w:hAnsi="黑体" w:cs="黑体" w:hint="eastAsia"/>
                <w:sz w:val="32"/>
                <w:szCs w:val="32"/>
              </w:rPr>
            </w:r>
            <w:r w:rsidR="00BE79F1">
              <w:rPr>
                <w:rFonts w:ascii="黑体" w:eastAsia="黑体" w:hAnsi="黑体" w:cs="黑体" w:hint="eastAsia"/>
                <w:sz w:val="32"/>
                <w:szCs w:val="32"/>
              </w:rPr>
              <w:fldChar w:fldCharType="separate"/>
            </w:r>
            <w:r w:rsidR="00BE79F1">
              <w:rPr>
                <w:rFonts w:ascii="黑体" w:eastAsia="黑体" w:hAnsi="黑体" w:cs="黑体" w:hint="eastAsia"/>
                <w:sz w:val="32"/>
                <w:szCs w:val="32"/>
              </w:rPr>
              <w:t>21</w:t>
            </w:r>
            <w:r w:rsidR="00BE79F1">
              <w:rPr>
                <w:rFonts w:ascii="黑体" w:eastAsia="黑体" w:hAnsi="黑体" w:cs="黑体" w:hint="eastAsia"/>
                <w:sz w:val="32"/>
                <w:szCs w:val="32"/>
              </w:rPr>
              <w:fldChar w:fldCharType="end"/>
            </w:r>
          </w:hyperlink>
        </w:p>
        <w:p w:rsidR="00F346E2" w:rsidRDefault="00BE79F1">
          <w:pPr>
            <w:jc w:val="center"/>
            <w:sectPr w:rsidR="00F346E2">
              <w:pgSz w:w="11906" w:h="16838"/>
              <w:pgMar w:top="1440" w:right="1800" w:bottom="1440" w:left="1800" w:header="851" w:footer="992" w:gutter="0"/>
              <w:cols w:space="425"/>
              <w:docGrid w:type="lines" w:linePitch="312"/>
            </w:sectPr>
          </w:pPr>
          <w:r>
            <w:fldChar w:fldCharType="end"/>
          </w:r>
        </w:p>
      </w:sdtContent>
    </w:sdt>
    <w:p w:rsidR="00F346E2" w:rsidRDefault="00BE79F1">
      <w:pPr>
        <w:spacing w:line="560" w:lineRule="exact"/>
        <w:jc w:val="center"/>
        <w:outlineLvl w:val="0"/>
        <w:rPr>
          <w:rFonts w:ascii="方正小标宋简体" w:eastAsia="方正小标宋简体"/>
          <w:sz w:val="36"/>
          <w:szCs w:val="36"/>
        </w:rPr>
      </w:pPr>
      <w:bookmarkStart w:id="0" w:name="_Toc27081"/>
      <w:bookmarkStart w:id="1" w:name="_Toc12106"/>
      <w:bookmarkStart w:id="2" w:name="_Toc26953"/>
      <w:bookmarkStart w:id="3" w:name="_Toc23277"/>
      <w:bookmarkStart w:id="4" w:name="_Toc22354"/>
      <w:bookmarkStart w:id="5" w:name="_Toc9770"/>
      <w:bookmarkStart w:id="6" w:name="_Toc30111"/>
      <w:r>
        <w:rPr>
          <w:rFonts w:ascii="方正小标宋简体" w:eastAsia="方正小标宋简体" w:hint="eastAsia"/>
          <w:sz w:val="36"/>
          <w:szCs w:val="36"/>
        </w:rPr>
        <w:lastRenderedPageBreak/>
        <w:t>2023年度部门整体支出绩效评价报告</w:t>
      </w:r>
      <w:bookmarkEnd w:id="0"/>
      <w:bookmarkEnd w:id="1"/>
      <w:bookmarkEnd w:id="2"/>
      <w:bookmarkEnd w:id="3"/>
      <w:bookmarkEnd w:id="4"/>
      <w:bookmarkEnd w:id="5"/>
      <w:bookmarkEnd w:id="6"/>
    </w:p>
    <w:p w:rsidR="00F346E2" w:rsidRDefault="00F346E2">
      <w:pPr>
        <w:ind w:firstLineChars="200" w:firstLine="640"/>
        <w:rPr>
          <w:rFonts w:ascii="仿宋_GB2312" w:eastAsia="仿宋_GB2312"/>
          <w:sz w:val="32"/>
          <w:szCs w:val="32"/>
        </w:rPr>
      </w:pPr>
    </w:p>
    <w:p w:rsidR="00F346E2" w:rsidRDefault="00BE79F1">
      <w:pPr>
        <w:ind w:firstLineChars="200" w:firstLine="640"/>
        <w:rPr>
          <w:rFonts w:ascii="仿宋_GB2312" w:eastAsia="仿宋_GB2312"/>
          <w:sz w:val="32"/>
          <w:szCs w:val="32"/>
        </w:rPr>
      </w:pPr>
      <w:r>
        <w:rPr>
          <w:rFonts w:ascii="仿宋_GB2312" w:eastAsia="仿宋_GB2312" w:hint="eastAsia"/>
          <w:sz w:val="32"/>
          <w:szCs w:val="32"/>
        </w:rPr>
        <w:t>为加强中国农工民主党北京市委员会部门财政资金管理，强化支出责任，建立科学、合理的财政支出绩效评价管理体系，提高财政资金的使用效益，根据财政部《预算绩效管理工作规划（20122015)》（财预〔2012〕396号）、财政部《财政支出绩效评价管理暂行办法》（财预〔2020〕10号）、《党政机关厉行节约反对浪费条例》《北京市项目支出绩效评价管理办法》《关于全面实施预算绩效管理的实施意见》（京发〔2019〕12号）等文件的要求，202</w:t>
      </w:r>
      <w:r w:rsidR="00443568">
        <w:rPr>
          <w:rFonts w:ascii="仿宋_GB2312" w:eastAsia="仿宋_GB2312"/>
          <w:sz w:val="32"/>
          <w:szCs w:val="32"/>
        </w:rPr>
        <w:t>4</w:t>
      </w:r>
      <w:r>
        <w:rPr>
          <w:rFonts w:ascii="仿宋_GB2312" w:eastAsia="仿宋_GB2312" w:hint="eastAsia"/>
          <w:sz w:val="32"/>
          <w:szCs w:val="32"/>
        </w:rPr>
        <w:t>年4月至5月期间，中国农工民主党北京市委员会机关组织开展了部门预算整体支出绩效评价，本次评价遵循了“科学规范，公正公开、分类管理、绩效相关”的原则，运用科学、合理的绩效评价指标、评价标准和评价方法，对2023年度部门整体支出的绩效情况进行了客观、公正的评价。现将情况汇报如下。</w:t>
      </w:r>
    </w:p>
    <w:p w:rsidR="00F346E2" w:rsidRDefault="00BE79F1">
      <w:pPr>
        <w:pStyle w:val="1"/>
        <w:keepNext w:val="0"/>
        <w:keepLines w:val="0"/>
        <w:spacing w:before="0" w:after="0" w:line="600" w:lineRule="exact"/>
        <w:ind w:firstLineChars="200" w:firstLine="640"/>
        <w:rPr>
          <w:rFonts w:ascii="黑体" w:eastAsia="黑体" w:hAnsi="黑体" w:cs="黑体"/>
          <w:b w:val="0"/>
          <w:bCs/>
          <w:sz w:val="32"/>
          <w:szCs w:val="32"/>
        </w:rPr>
      </w:pPr>
      <w:bookmarkStart w:id="7" w:name="_Toc9146"/>
      <w:r>
        <w:rPr>
          <w:rFonts w:ascii="黑体" w:eastAsia="黑体" w:hAnsi="黑体" w:cs="黑体" w:hint="eastAsia"/>
          <w:b w:val="0"/>
          <w:bCs/>
          <w:sz w:val="32"/>
          <w:szCs w:val="32"/>
        </w:rPr>
        <w:t>一、部门概况</w:t>
      </w:r>
      <w:bookmarkEnd w:id="7"/>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8" w:name="_Toc26666"/>
      <w:r>
        <w:rPr>
          <w:rFonts w:ascii="楷体_GB2312" w:eastAsia="楷体_GB2312" w:hAnsi="楷体_GB2312" w:cs="楷体_GB2312" w:hint="eastAsia"/>
          <w:b w:val="0"/>
          <w:bCs/>
        </w:rPr>
        <w:t>（一）机构设置及职责工作任务情况</w:t>
      </w:r>
      <w:bookmarkEnd w:id="8"/>
    </w:p>
    <w:p w:rsidR="00F346E2" w:rsidRDefault="00BE79F1">
      <w:pPr>
        <w:ind w:firstLineChars="200" w:firstLine="640"/>
        <w:rPr>
          <w:rFonts w:ascii="仿宋_GB2312" w:eastAsia="仿宋_GB2312"/>
          <w:sz w:val="32"/>
          <w:szCs w:val="32"/>
        </w:rPr>
      </w:pPr>
      <w:r>
        <w:rPr>
          <w:rFonts w:ascii="仿宋_GB2312" w:eastAsia="仿宋_GB2312" w:hint="eastAsia"/>
          <w:sz w:val="32"/>
          <w:szCs w:val="32"/>
        </w:rPr>
        <w:t>中国农工民主党北京市委员会机关（以下简称“</w:t>
      </w:r>
      <w:r>
        <w:rPr>
          <w:rFonts w:ascii="仿宋_GB2312" w:eastAsia="仿宋_GB2312" w:cs="仿宋_GB2312" w:hint="eastAsia"/>
          <w:sz w:val="32"/>
          <w:szCs w:val="32"/>
        </w:rPr>
        <w:t>农工党北京市委</w:t>
      </w:r>
      <w:r>
        <w:rPr>
          <w:rFonts w:ascii="仿宋_GB2312" w:eastAsia="仿宋_GB2312" w:hint="eastAsia"/>
          <w:sz w:val="32"/>
          <w:szCs w:val="32"/>
        </w:rPr>
        <w:t>”）性质为行政部门，属于民主党派机关，部门职责是参政议政、民主监督、参加中国共产党领导的政治协商。</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农工党北京市委下设办公室、参政议政处、宣传处、组织处、社会服务处5个处（室）。办公室是市委机关综合性</w:t>
      </w:r>
      <w:r>
        <w:rPr>
          <w:rFonts w:ascii="仿宋_GB2312" w:eastAsia="仿宋_GB2312" w:cs="仿宋_GB2312" w:hint="eastAsia"/>
          <w:sz w:val="32"/>
          <w:szCs w:val="32"/>
        </w:rPr>
        <w:lastRenderedPageBreak/>
        <w:t>职能部门，主要负责做好行政事务性工作，包括文秘、人事、财务、行政管理等工作。参政议政处负责市委参政议政各项工作任务的落实，组织对国家、地方各种方针政策提出建议，组织调研工作，组织市委在市人大、市政协的参政议政工作，负责市委信息工作的组织上报工作。宣传处负责做好市委各级组织和党员的思想建设工作，组织开展理论研究课题工作，负责新闻宣传和对外宣传工作。组织处负责市委组织建设工作的职能部门，承担全市的组织发展、党员的党籍管理、市委各级组织的建设以及后备干部队伍建设等有关工作，落实市委监督委员会的工作。社会服务处是市委履行参政党职能的社会实践工作部门，主要负责落实上级部门有关社会服务工作的要求，指导组织各级组织的社会服务工作，落实社团各项工作和对外联络工作。</w:t>
      </w:r>
    </w:p>
    <w:p w:rsidR="00F346E2" w:rsidRDefault="00BE79F1">
      <w:pPr>
        <w:pStyle w:val="a4"/>
        <w:jc w:val="center"/>
        <w:rPr>
          <w:rFonts w:ascii="微软雅黑" w:eastAsia="微软雅黑" w:hAnsi="微软雅黑" w:cs="微软雅黑"/>
          <w:sz w:val="24"/>
        </w:rPr>
      </w:pPr>
      <w:r>
        <w:rPr>
          <w:rFonts w:ascii="微软雅黑" w:eastAsia="微软雅黑" w:hAnsi="微软雅黑" w:cs="微软雅黑" w:hint="eastAsia"/>
          <w:sz w:val="24"/>
        </w:rPr>
        <w:t xml:space="preserve">表 </w:t>
      </w:r>
      <w:r>
        <w:rPr>
          <w:rFonts w:ascii="微软雅黑" w:eastAsia="微软雅黑" w:hAnsi="微软雅黑" w:cs="微软雅黑" w:hint="eastAsia"/>
          <w:sz w:val="24"/>
        </w:rPr>
        <w:fldChar w:fldCharType="begin"/>
      </w:r>
      <w:r>
        <w:rPr>
          <w:rFonts w:ascii="微软雅黑" w:eastAsia="微软雅黑" w:hAnsi="微软雅黑" w:cs="微软雅黑" w:hint="eastAsia"/>
          <w:sz w:val="24"/>
        </w:rPr>
        <w:instrText xml:space="preserve"> SEQ 表 \* ARABIC </w:instrText>
      </w:r>
      <w:r>
        <w:rPr>
          <w:rFonts w:ascii="微软雅黑" w:eastAsia="微软雅黑" w:hAnsi="微软雅黑" w:cs="微软雅黑" w:hint="eastAsia"/>
          <w:sz w:val="24"/>
        </w:rPr>
        <w:fldChar w:fldCharType="separate"/>
      </w:r>
      <w:r>
        <w:rPr>
          <w:rFonts w:ascii="微软雅黑" w:eastAsia="微软雅黑" w:hAnsi="微软雅黑" w:cs="微软雅黑" w:hint="eastAsia"/>
          <w:sz w:val="24"/>
        </w:rPr>
        <w:t>1</w:t>
      </w:r>
      <w:r>
        <w:rPr>
          <w:rFonts w:ascii="微软雅黑" w:eastAsia="微软雅黑" w:hAnsi="微软雅黑" w:cs="微软雅黑" w:hint="eastAsia"/>
          <w:sz w:val="24"/>
        </w:rPr>
        <w:fldChar w:fldCharType="end"/>
      </w:r>
      <w:r>
        <w:rPr>
          <w:rFonts w:ascii="微软雅黑" w:eastAsia="微软雅黑" w:hAnsi="微软雅黑" w:cs="微软雅黑" w:hint="eastAsia"/>
          <w:sz w:val="24"/>
        </w:rPr>
        <w:t xml:space="preserve"> 部门职能</w:t>
      </w:r>
    </w:p>
    <w:tbl>
      <w:tblPr>
        <w:tblStyle w:val="a9"/>
        <w:tblW w:w="8220" w:type="dxa"/>
        <w:jc w:val="center"/>
        <w:tblLook w:val="04A0" w:firstRow="1" w:lastRow="0" w:firstColumn="1" w:lastColumn="0" w:noHBand="0" w:noVBand="1"/>
      </w:tblPr>
      <w:tblGrid>
        <w:gridCol w:w="2010"/>
        <w:gridCol w:w="6210"/>
      </w:tblGrid>
      <w:tr w:rsidR="00F346E2">
        <w:trPr>
          <w:trHeight w:val="23"/>
          <w:tblHeader/>
          <w:jc w:val="center"/>
        </w:trPr>
        <w:tc>
          <w:tcPr>
            <w:tcW w:w="2010" w:type="dxa"/>
            <w:vAlign w:val="center"/>
          </w:tcPr>
          <w:p w:rsidR="00F346E2" w:rsidRDefault="00BE79F1">
            <w:pPr>
              <w:pStyle w:val="a3"/>
              <w:spacing w:line="400" w:lineRule="exact"/>
              <w:ind w:firstLineChars="0" w:firstLine="0"/>
              <w:jc w:val="center"/>
              <w:rPr>
                <w:rFonts w:ascii="仿宋_GB2312" w:eastAsia="仿宋_GB2312" w:cs="仿宋_GB2312"/>
                <w:b/>
                <w:bCs/>
                <w:sz w:val="28"/>
                <w:szCs w:val="28"/>
              </w:rPr>
            </w:pPr>
            <w:r>
              <w:rPr>
                <w:rFonts w:ascii="仿宋_GB2312" w:eastAsia="仿宋_GB2312" w:cs="仿宋_GB2312" w:hint="eastAsia"/>
                <w:b/>
                <w:bCs/>
                <w:sz w:val="28"/>
                <w:szCs w:val="28"/>
              </w:rPr>
              <w:t>机构设置</w:t>
            </w:r>
          </w:p>
        </w:tc>
        <w:tc>
          <w:tcPr>
            <w:tcW w:w="6210" w:type="dxa"/>
            <w:vAlign w:val="center"/>
          </w:tcPr>
          <w:p w:rsidR="00F346E2" w:rsidRDefault="00BE79F1">
            <w:pPr>
              <w:pStyle w:val="a3"/>
              <w:spacing w:line="400" w:lineRule="exact"/>
              <w:ind w:firstLineChars="0" w:firstLine="0"/>
              <w:jc w:val="center"/>
              <w:rPr>
                <w:rFonts w:ascii="仿宋_GB2312" w:eastAsia="仿宋_GB2312" w:cs="仿宋_GB2312"/>
                <w:b/>
                <w:bCs/>
                <w:sz w:val="28"/>
                <w:szCs w:val="28"/>
              </w:rPr>
            </w:pPr>
            <w:r>
              <w:rPr>
                <w:rFonts w:ascii="仿宋_GB2312" w:eastAsia="仿宋_GB2312" w:cs="仿宋_GB2312"/>
                <w:b/>
                <w:bCs/>
                <w:sz w:val="28"/>
                <w:szCs w:val="28"/>
              </w:rPr>
              <w:t>职责工作任务</w:t>
            </w:r>
          </w:p>
        </w:tc>
      </w:tr>
      <w:tr w:rsidR="00F346E2">
        <w:trPr>
          <w:trHeight w:val="23"/>
          <w:jc w:val="center"/>
        </w:trPr>
        <w:tc>
          <w:tcPr>
            <w:tcW w:w="2010" w:type="dxa"/>
            <w:vAlign w:val="center"/>
          </w:tcPr>
          <w:p w:rsidR="00F346E2" w:rsidRDefault="00BE79F1">
            <w:pPr>
              <w:pStyle w:val="a3"/>
              <w:spacing w:line="400" w:lineRule="exact"/>
              <w:ind w:firstLineChars="0" w:firstLine="0"/>
              <w:jc w:val="center"/>
              <w:rPr>
                <w:rFonts w:ascii="仿宋_GB2312" w:eastAsia="仿宋_GB2312" w:cs="仿宋_GB2312"/>
                <w:sz w:val="28"/>
                <w:szCs w:val="28"/>
              </w:rPr>
            </w:pPr>
            <w:r>
              <w:rPr>
                <w:rFonts w:ascii="仿宋_GB2312" w:eastAsia="仿宋_GB2312" w:cs="仿宋_GB2312" w:hint="eastAsia"/>
                <w:sz w:val="28"/>
                <w:szCs w:val="28"/>
              </w:rPr>
              <w:t>办公室</w:t>
            </w:r>
          </w:p>
        </w:tc>
        <w:tc>
          <w:tcPr>
            <w:tcW w:w="6210" w:type="dxa"/>
            <w:vAlign w:val="center"/>
          </w:tcPr>
          <w:p w:rsidR="00F346E2" w:rsidRDefault="00BE79F1">
            <w:pPr>
              <w:pStyle w:val="a3"/>
              <w:spacing w:line="400" w:lineRule="exact"/>
              <w:ind w:firstLineChars="0" w:firstLine="0"/>
              <w:jc w:val="left"/>
              <w:rPr>
                <w:rFonts w:ascii="仿宋_GB2312" w:eastAsia="仿宋_GB2312" w:cs="仿宋_GB2312"/>
                <w:sz w:val="28"/>
                <w:szCs w:val="28"/>
              </w:rPr>
            </w:pPr>
            <w:r>
              <w:rPr>
                <w:rFonts w:ascii="仿宋_GB2312" w:eastAsia="仿宋_GB2312" w:cs="仿宋_GB2312"/>
                <w:sz w:val="28"/>
                <w:szCs w:val="28"/>
              </w:rPr>
              <w:t>做好行政事务性工作，包括文秘、人事、财务、行政管理等工作</w:t>
            </w:r>
          </w:p>
        </w:tc>
      </w:tr>
      <w:tr w:rsidR="00F346E2">
        <w:trPr>
          <w:trHeight w:val="23"/>
          <w:jc w:val="center"/>
        </w:trPr>
        <w:tc>
          <w:tcPr>
            <w:tcW w:w="2010" w:type="dxa"/>
            <w:vAlign w:val="center"/>
          </w:tcPr>
          <w:p w:rsidR="00F346E2" w:rsidRDefault="00BE79F1">
            <w:pPr>
              <w:pStyle w:val="a3"/>
              <w:spacing w:line="400" w:lineRule="exact"/>
              <w:ind w:firstLineChars="0" w:firstLine="0"/>
              <w:jc w:val="center"/>
              <w:rPr>
                <w:rFonts w:ascii="仿宋_GB2312" w:eastAsia="仿宋_GB2312" w:cs="仿宋_GB2312"/>
                <w:sz w:val="28"/>
                <w:szCs w:val="28"/>
              </w:rPr>
            </w:pPr>
            <w:r>
              <w:rPr>
                <w:rFonts w:ascii="仿宋_GB2312" w:eastAsia="仿宋_GB2312" w:cs="仿宋_GB2312" w:hint="eastAsia"/>
                <w:sz w:val="28"/>
                <w:szCs w:val="28"/>
              </w:rPr>
              <w:t>参政议政处</w:t>
            </w:r>
          </w:p>
        </w:tc>
        <w:tc>
          <w:tcPr>
            <w:tcW w:w="6210" w:type="dxa"/>
            <w:vAlign w:val="center"/>
          </w:tcPr>
          <w:p w:rsidR="00F346E2" w:rsidRDefault="00BE79F1">
            <w:pPr>
              <w:pStyle w:val="a3"/>
              <w:spacing w:line="400" w:lineRule="exact"/>
              <w:ind w:firstLineChars="0" w:firstLine="0"/>
              <w:jc w:val="left"/>
              <w:rPr>
                <w:rFonts w:ascii="仿宋_GB2312" w:eastAsia="仿宋_GB2312" w:cs="仿宋_GB2312"/>
                <w:sz w:val="28"/>
                <w:szCs w:val="28"/>
              </w:rPr>
            </w:pPr>
            <w:r>
              <w:rPr>
                <w:rFonts w:ascii="仿宋_GB2312" w:eastAsia="仿宋_GB2312" w:cs="仿宋_GB2312" w:hint="eastAsia"/>
                <w:sz w:val="28"/>
                <w:szCs w:val="28"/>
              </w:rPr>
              <w:t>负责市委参政议政各项工作任务的落实，组织对国家、地方各种方针政策提出建议，组织调研工作，组织市委在市人大、市政协的参政议政工作，负责市委信息工作的组织上报工作</w:t>
            </w:r>
          </w:p>
        </w:tc>
      </w:tr>
      <w:tr w:rsidR="00F346E2">
        <w:trPr>
          <w:trHeight w:val="23"/>
          <w:jc w:val="center"/>
        </w:trPr>
        <w:tc>
          <w:tcPr>
            <w:tcW w:w="2010" w:type="dxa"/>
            <w:vAlign w:val="center"/>
          </w:tcPr>
          <w:p w:rsidR="00F346E2" w:rsidRDefault="00BE79F1">
            <w:pPr>
              <w:pStyle w:val="a3"/>
              <w:spacing w:line="400" w:lineRule="exact"/>
              <w:ind w:firstLineChars="0" w:firstLine="0"/>
              <w:jc w:val="center"/>
              <w:rPr>
                <w:rFonts w:ascii="仿宋_GB2312" w:eastAsia="仿宋_GB2312" w:cs="仿宋_GB2312"/>
                <w:sz w:val="28"/>
                <w:szCs w:val="28"/>
              </w:rPr>
            </w:pPr>
            <w:r>
              <w:rPr>
                <w:rFonts w:ascii="仿宋_GB2312" w:eastAsia="仿宋_GB2312" w:cs="仿宋_GB2312" w:hint="eastAsia"/>
                <w:sz w:val="28"/>
                <w:szCs w:val="28"/>
              </w:rPr>
              <w:t>宣传处</w:t>
            </w:r>
          </w:p>
        </w:tc>
        <w:tc>
          <w:tcPr>
            <w:tcW w:w="6210" w:type="dxa"/>
            <w:vAlign w:val="center"/>
          </w:tcPr>
          <w:p w:rsidR="00F346E2" w:rsidRDefault="00BE79F1">
            <w:pPr>
              <w:pStyle w:val="a3"/>
              <w:spacing w:line="400" w:lineRule="exact"/>
              <w:ind w:firstLineChars="0" w:firstLine="0"/>
              <w:jc w:val="left"/>
              <w:rPr>
                <w:rFonts w:ascii="仿宋_GB2312" w:eastAsia="仿宋_GB2312" w:cs="仿宋_GB2312"/>
                <w:sz w:val="28"/>
                <w:szCs w:val="28"/>
              </w:rPr>
            </w:pPr>
            <w:r>
              <w:rPr>
                <w:rFonts w:ascii="仿宋_GB2312" w:eastAsia="仿宋_GB2312" w:cs="仿宋_GB2312" w:hint="eastAsia"/>
                <w:sz w:val="28"/>
                <w:szCs w:val="28"/>
              </w:rPr>
              <w:t>负责做好市委各级组织和党员的思想建设工作，组织开展理论研究课题工作，负责新闻宣传和对外宣传工作</w:t>
            </w:r>
          </w:p>
        </w:tc>
      </w:tr>
      <w:tr w:rsidR="00F346E2">
        <w:trPr>
          <w:trHeight w:val="23"/>
          <w:jc w:val="center"/>
        </w:trPr>
        <w:tc>
          <w:tcPr>
            <w:tcW w:w="2010" w:type="dxa"/>
            <w:vAlign w:val="center"/>
          </w:tcPr>
          <w:p w:rsidR="00F346E2" w:rsidRDefault="00BE79F1">
            <w:pPr>
              <w:pStyle w:val="a3"/>
              <w:spacing w:line="400" w:lineRule="exact"/>
              <w:ind w:firstLineChars="0" w:firstLine="0"/>
              <w:jc w:val="center"/>
              <w:rPr>
                <w:rFonts w:ascii="仿宋_GB2312" w:eastAsia="仿宋_GB2312" w:cs="仿宋_GB2312"/>
                <w:sz w:val="28"/>
                <w:szCs w:val="28"/>
              </w:rPr>
            </w:pPr>
            <w:r>
              <w:rPr>
                <w:rFonts w:ascii="仿宋_GB2312" w:eastAsia="仿宋_GB2312" w:cs="仿宋_GB2312" w:hint="eastAsia"/>
                <w:sz w:val="28"/>
                <w:szCs w:val="28"/>
              </w:rPr>
              <w:t>组织处</w:t>
            </w:r>
          </w:p>
        </w:tc>
        <w:tc>
          <w:tcPr>
            <w:tcW w:w="6210" w:type="dxa"/>
            <w:vAlign w:val="center"/>
          </w:tcPr>
          <w:p w:rsidR="00F346E2" w:rsidRDefault="00BE79F1">
            <w:pPr>
              <w:pStyle w:val="a3"/>
              <w:spacing w:line="400" w:lineRule="exact"/>
              <w:ind w:firstLineChars="0" w:firstLine="0"/>
              <w:jc w:val="left"/>
              <w:rPr>
                <w:rFonts w:ascii="仿宋_GB2312" w:eastAsia="仿宋_GB2312" w:cs="仿宋_GB2312"/>
                <w:sz w:val="28"/>
                <w:szCs w:val="28"/>
              </w:rPr>
            </w:pPr>
            <w:r>
              <w:rPr>
                <w:rFonts w:ascii="仿宋_GB2312" w:eastAsia="仿宋_GB2312" w:cs="仿宋_GB2312"/>
                <w:sz w:val="28"/>
                <w:szCs w:val="28"/>
              </w:rPr>
              <w:t>负责市委组织建设工作的职能部门，承担全市的组织发展、党员的党籍管理、市委各级组织的建</w:t>
            </w:r>
            <w:r>
              <w:rPr>
                <w:rFonts w:ascii="仿宋_GB2312" w:eastAsia="仿宋_GB2312" w:cs="仿宋_GB2312"/>
                <w:sz w:val="28"/>
                <w:szCs w:val="28"/>
              </w:rPr>
              <w:lastRenderedPageBreak/>
              <w:t>设以及后备干部队伍建设等有关工作，落实市委监督委员会的工作</w:t>
            </w:r>
          </w:p>
        </w:tc>
      </w:tr>
      <w:tr w:rsidR="00F346E2">
        <w:trPr>
          <w:trHeight w:val="23"/>
          <w:jc w:val="center"/>
        </w:trPr>
        <w:tc>
          <w:tcPr>
            <w:tcW w:w="2010" w:type="dxa"/>
            <w:vAlign w:val="center"/>
          </w:tcPr>
          <w:p w:rsidR="00F346E2" w:rsidRDefault="00BE79F1">
            <w:pPr>
              <w:pStyle w:val="a3"/>
              <w:spacing w:line="400" w:lineRule="exact"/>
              <w:ind w:firstLineChars="0" w:firstLine="0"/>
              <w:jc w:val="center"/>
              <w:rPr>
                <w:rFonts w:ascii="仿宋_GB2312" w:eastAsia="仿宋_GB2312" w:cs="仿宋_GB2312"/>
                <w:sz w:val="28"/>
                <w:szCs w:val="28"/>
              </w:rPr>
            </w:pPr>
            <w:r>
              <w:rPr>
                <w:rFonts w:ascii="仿宋_GB2312" w:eastAsia="仿宋_GB2312" w:cs="仿宋_GB2312" w:hint="eastAsia"/>
                <w:sz w:val="28"/>
                <w:szCs w:val="28"/>
              </w:rPr>
              <w:lastRenderedPageBreak/>
              <w:t>社会服务处</w:t>
            </w:r>
          </w:p>
        </w:tc>
        <w:tc>
          <w:tcPr>
            <w:tcW w:w="6210" w:type="dxa"/>
            <w:vAlign w:val="center"/>
          </w:tcPr>
          <w:p w:rsidR="00F346E2" w:rsidRDefault="00BE79F1">
            <w:pPr>
              <w:pStyle w:val="a3"/>
              <w:spacing w:line="400" w:lineRule="exact"/>
              <w:ind w:firstLineChars="0" w:firstLine="0"/>
              <w:jc w:val="left"/>
              <w:rPr>
                <w:rFonts w:ascii="仿宋_GB2312" w:eastAsia="仿宋_GB2312" w:cs="仿宋_GB2312"/>
                <w:sz w:val="28"/>
                <w:szCs w:val="28"/>
              </w:rPr>
            </w:pPr>
            <w:r>
              <w:rPr>
                <w:rFonts w:ascii="仿宋_GB2312" w:eastAsia="仿宋_GB2312" w:cs="仿宋_GB2312"/>
                <w:sz w:val="28"/>
                <w:szCs w:val="28"/>
              </w:rPr>
              <w:t>负责落实上级部门有关社会服务工作的要求，指导组织各级组织的社会服务工作，落实社团各项工作和对外联络工作</w:t>
            </w:r>
          </w:p>
        </w:tc>
      </w:tr>
    </w:tbl>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9" w:name="_Toc4100"/>
      <w:r>
        <w:rPr>
          <w:rFonts w:ascii="楷体_GB2312" w:eastAsia="楷体_GB2312" w:hAnsi="楷体_GB2312" w:cs="楷体_GB2312" w:hint="eastAsia"/>
          <w:b w:val="0"/>
          <w:bCs/>
        </w:rPr>
        <w:t>（二）部门整体绩效目标设立情况</w:t>
      </w:r>
      <w:bookmarkEnd w:id="9"/>
    </w:p>
    <w:p w:rsidR="00F346E2" w:rsidRDefault="00BE79F1">
      <w:pPr>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1.部门总体目标</w:t>
      </w:r>
    </w:p>
    <w:p w:rsidR="00F346E2" w:rsidRDefault="00BE79F1">
      <w:pPr>
        <w:ind w:firstLineChars="200" w:firstLine="640"/>
        <w:rPr>
          <w:rFonts w:ascii="仿宋_GB2312" w:eastAsia="仿宋_GB2312" w:cs="仿宋_GB2312"/>
          <w:sz w:val="32"/>
          <w:szCs w:val="32"/>
        </w:rPr>
      </w:pPr>
      <w:r>
        <w:rPr>
          <w:rFonts w:ascii="仿宋_GB2312" w:eastAsia="仿宋_GB2312" w:cs="仿宋_GB2312" w:hint="eastAsia"/>
          <w:sz w:val="32"/>
          <w:szCs w:val="32"/>
        </w:rPr>
        <w:t>农工党北京市委坚持以习近平新时代中国特色社会主义思想为指导，深入学习贯彻中共二十大和二十届二中全会精神，深入学习贯彻习近平总书记对北京重要讲话精神，在农工党中央和中共北京市委的坚强领导下，在市委统战部的指导帮助下，在全市各级组织和全体党员的支持参与下，按照市委会五年工作规划的部署，扎实开展“凝心铸魂强根基、团结奋进新征程”主题教育，扎实推进凝聚人心、汇聚力量，履行职能、服务大局，推进自身建设、赓续优良传统的三大基本任务落实，助力首都经济高质量发展，关注民生福祉，深入推动健康北京和美丽北京建设，各项工作取得新进展新成效。</w:t>
      </w:r>
    </w:p>
    <w:p w:rsidR="00F346E2" w:rsidRDefault="00BE79F1">
      <w:pPr>
        <w:pStyle w:val="a3"/>
        <w:ind w:firstLine="643"/>
        <w:rPr>
          <w:rFonts w:ascii="仿宋_GB2312" w:eastAsia="仿宋_GB2312" w:cs="仿宋_GB2312"/>
          <w:b/>
          <w:bCs/>
          <w:sz w:val="32"/>
          <w:szCs w:val="32"/>
        </w:rPr>
      </w:pPr>
      <w:r>
        <w:rPr>
          <w:rFonts w:ascii="仿宋_GB2312" w:eastAsia="仿宋_GB2312" w:cs="仿宋_GB2312" w:hint="eastAsia"/>
          <w:b/>
          <w:bCs/>
          <w:sz w:val="32"/>
          <w:szCs w:val="32"/>
        </w:rPr>
        <w:t>2.当年绩效目标</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（1）加强农工党员队伍建设，年度目标是组织新党员培训班辐射人员规模超300人，持续不断提升党员政治素养，培养一支政治坚定、创新进取的参政党队伍。</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（2）积极开展定点帮扶活动，年度目标是计划开展助</w:t>
      </w:r>
      <w:r>
        <w:rPr>
          <w:rFonts w:ascii="仿宋_GB2312" w:eastAsia="仿宋_GB2312" w:cs="仿宋_GB2312" w:hint="eastAsia"/>
          <w:sz w:val="32"/>
          <w:szCs w:val="32"/>
        </w:rPr>
        <w:lastRenderedPageBreak/>
        <w:t>力精准帮扶活动不少于5次。</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（3）持续</w:t>
      </w:r>
      <w:r>
        <w:rPr>
          <w:rFonts w:ascii="仿宋_GB2312" w:eastAsia="仿宋_GB2312" w:hint="eastAsia"/>
          <w:sz w:val="32"/>
          <w:szCs w:val="32"/>
        </w:rPr>
        <w:t>做好</w:t>
      </w:r>
      <w:r>
        <w:rPr>
          <w:rFonts w:ascii="仿宋_GB2312" w:eastAsia="仿宋_GB2312" w:cs="仿宋_GB2312" w:hint="eastAsia"/>
          <w:sz w:val="32"/>
          <w:szCs w:val="32"/>
        </w:rPr>
        <w:t>宣传教育和理论学习、党史研究工作，年度目标是北京农工微信公众号发文不少于600篇、网站信息不少于500篇。</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（4）大力开展提案调研，</w:t>
      </w:r>
      <w:r>
        <w:rPr>
          <w:rFonts w:ascii="仿宋_GB2312" w:eastAsia="仿宋_GB2312" w:hint="eastAsia"/>
          <w:sz w:val="32"/>
          <w:szCs w:val="32"/>
        </w:rPr>
        <w:t>发挥民主党派智力密集的优势，进一步提高党员参政议政能力，</w:t>
      </w:r>
      <w:r>
        <w:rPr>
          <w:rFonts w:ascii="仿宋_GB2312" w:eastAsia="仿宋_GB2312" w:cs="仿宋_GB2312" w:hint="eastAsia"/>
          <w:sz w:val="32"/>
          <w:szCs w:val="32"/>
        </w:rPr>
        <w:t>年度目标是参加各类形式调研工作不少于80次，完成调研报告不少于50篇。</w:t>
      </w:r>
    </w:p>
    <w:p w:rsidR="00F346E2" w:rsidRDefault="00BE79F1">
      <w:pPr>
        <w:pStyle w:val="1"/>
        <w:keepNext w:val="0"/>
        <w:keepLines w:val="0"/>
        <w:spacing w:before="0" w:after="0" w:line="600" w:lineRule="exact"/>
        <w:ind w:firstLineChars="200" w:firstLine="640"/>
        <w:rPr>
          <w:rFonts w:ascii="黑体" w:eastAsia="黑体" w:hAnsi="黑体" w:cs="黑体"/>
          <w:b w:val="0"/>
          <w:bCs/>
          <w:sz w:val="32"/>
          <w:szCs w:val="32"/>
        </w:rPr>
      </w:pPr>
      <w:bookmarkStart w:id="10" w:name="_Toc5418"/>
      <w:r>
        <w:rPr>
          <w:rFonts w:ascii="黑体" w:eastAsia="黑体" w:hAnsi="黑体" w:cs="黑体" w:hint="eastAsia"/>
          <w:b w:val="0"/>
          <w:bCs/>
          <w:sz w:val="32"/>
          <w:szCs w:val="32"/>
        </w:rPr>
        <w:t>二、当年预算执行情况</w:t>
      </w:r>
      <w:bookmarkEnd w:id="10"/>
    </w:p>
    <w:p w:rsidR="00F346E2" w:rsidRDefault="00BE79F1">
      <w:pPr>
        <w:widowControl/>
        <w:ind w:firstLineChars="200" w:firstLine="640"/>
        <w:rPr>
          <w:rFonts w:ascii="仿宋_GB2312" w:eastAsia="仿宋_GB2312" w:cs="仿宋_GB2312"/>
          <w:sz w:val="32"/>
          <w:szCs w:val="32"/>
        </w:rPr>
      </w:pPr>
      <w:r>
        <w:rPr>
          <w:rFonts w:ascii="仿宋_GB2312" w:eastAsia="仿宋_GB2312" w:cs="仿宋_GB2312"/>
          <w:sz w:val="32"/>
          <w:szCs w:val="32"/>
        </w:rPr>
        <w:t>202</w:t>
      </w:r>
      <w:r>
        <w:rPr>
          <w:rFonts w:ascii="仿宋_GB2312" w:eastAsia="仿宋_GB2312" w:cs="仿宋_GB2312" w:hint="eastAsia"/>
          <w:sz w:val="32"/>
          <w:szCs w:val="32"/>
        </w:rPr>
        <w:t>3年部门全年预算1563.64万元，其中：基本支出预算1388.21万元，占总支出预算88.78%；项目支出预算175.43万元，占总支出预算11.22%。</w:t>
      </w:r>
      <w:r>
        <w:rPr>
          <w:rFonts w:ascii="仿宋_GB2312" w:eastAsia="仿宋_GB2312" w:cs="仿宋_GB2312"/>
          <w:sz w:val="32"/>
          <w:szCs w:val="32"/>
        </w:rPr>
        <w:t>202</w:t>
      </w:r>
      <w:r>
        <w:rPr>
          <w:rFonts w:ascii="仿宋_GB2312" w:eastAsia="仿宋_GB2312" w:cs="仿宋_GB2312" w:hint="eastAsia"/>
          <w:sz w:val="32"/>
          <w:szCs w:val="32"/>
        </w:rPr>
        <w:t>3年部门支出1545.53万元，其中：基本支出1371.11万元，占部门总支出88.71%；项目支出174.42万元，占部门总支出11.29%。部门整体预算执行率为98.84%。</w:t>
      </w:r>
    </w:p>
    <w:p w:rsidR="00F346E2" w:rsidRDefault="00BE79F1">
      <w:pPr>
        <w:pStyle w:val="a3"/>
        <w:ind w:firstLine="643"/>
        <w:rPr>
          <w:rFonts w:ascii="仿宋_GB2312" w:eastAsia="仿宋_GB2312" w:cs="仿宋_GB2312"/>
          <w:b/>
          <w:bCs/>
          <w:sz w:val="32"/>
          <w:szCs w:val="32"/>
        </w:rPr>
      </w:pPr>
      <w:r>
        <w:rPr>
          <w:rFonts w:ascii="仿宋_GB2312" w:eastAsia="仿宋_GB2312" w:cs="仿宋_GB2312" w:hint="eastAsia"/>
          <w:b/>
          <w:bCs/>
          <w:sz w:val="32"/>
          <w:szCs w:val="32"/>
        </w:rPr>
        <w:t>1.基本支出情况</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农工党北京市委2023年基本支出1371.11万元，包括人员经费和公用经费等。</w:t>
      </w:r>
    </w:p>
    <w:p w:rsidR="00F346E2" w:rsidRDefault="00BE79F1">
      <w:pPr>
        <w:pStyle w:val="a3"/>
        <w:ind w:firstLine="643"/>
        <w:rPr>
          <w:rFonts w:ascii="仿宋_GB2312" w:eastAsia="仿宋_GB2312" w:cs="仿宋_GB2312"/>
          <w:b/>
          <w:bCs/>
          <w:sz w:val="32"/>
          <w:szCs w:val="32"/>
        </w:rPr>
      </w:pPr>
      <w:r>
        <w:rPr>
          <w:rFonts w:ascii="仿宋_GB2312" w:eastAsia="仿宋_GB2312" w:cs="仿宋_GB2312" w:hint="eastAsia"/>
          <w:b/>
          <w:bCs/>
          <w:sz w:val="32"/>
          <w:szCs w:val="32"/>
        </w:rPr>
        <w:t>2.项目支出情况</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2023年部门项目支出174.42万元，支出明细见表2，7个项目均为农工党北京市委本级项目。</w:t>
      </w:r>
    </w:p>
    <w:p w:rsidR="00F346E2" w:rsidRDefault="00BE79F1">
      <w:pPr>
        <w:rPr>
          <w:rFonts w:ascii="微软雅黑" w:eastAsia="微软雅黑" w:hAnsi="微软雅黑" w:cs="微软雅黑"/>
          <w:sz w:val="24"/>
        </w:rPr>
      </w:pPr>
      <w:r>
        <w:rPr>
          <w:rFonts w:ascii="微软雅黑" w:eastAsia="微软雅黑" w:hAnsi="微软雅黑" w:cs="微软雅黑" w:hint="eastAsia"/>
          <w:sz w:val="24"/>
        </w:rPr>
        <w:br w:type="page"/>
      </w:r>
    </w:p>
    <w:p w:rsidR="00F346E2" w:rsidRDefault="00BE79F1">
      <w:pPr>
        <w:pStyle w:val="a4"/>
        <w:jc w:val="center"/>
        <w:rPr>
          <w:rFonts w:ascii="微软雅黑" w:eastAsia="微软雅黑" w:hAnsi="微软雅黑" w:cs="微软雅黑"/>
          <w:sz w:val="24"/>
        </w:rPr>
      </w:pPr>
      <w:r>
        <w:rPr>
          <w:rFonts w:ascii="微软雅黑" w:eastAsia="微软雅黑" w:hAnsi="微软雅黑" w:cs="微软雅黑" w:hint="eastAsia"/>
          <w:sz w:val="24"/>
        </w:rPr>
        <w:lastRenderedPageBreak/>
        <w:t xml:space="preserve">表 </w:t>
      </w:r>
      <w:r>
        <w:rPr>
          <w:rFonts w:ascii="微软雅黑" w:eastAsia="微软雅黑" w:hAnsi="微软雅黑" w:cs="微软雅黑" w:hint="eastAsia"/>
          <w:sz w:val="24"/>
        </w:rPr>
        <w:fldChar w:fldCharType="begin"/>
      </w:r>
      <w:r>
        <w:rPr>
          <w:rFonts w:ascii="微软雅黑" w:eastAsia="微软雅黑" w:hAnsi="微软雅黑" w:cs="微软雅黑" w:hint="eastAsia"/>
          <w:sz w:val="24"/>
        </w:rPr>
        <w:instrText xml:space="preserve"> SEQ 表 \* ARABIC </w:instrText>
      </w:r>
      <w:r>
        <w:rPr>
          <w:rFonts w:ascii="微软雅黑" w:eastAsia="微软雅黑" w:hAnsi="微软雅黑" w:cs="微软雅黑" w:hint="eastAsia"/>
          <w:sz w:val="24"/>
        </w:rPr>
        <w:fldChar w:fldCharType="separate"/>
      </w:r>
      <w:r>
        <w:rPr>
          <w:rFonts w:ascii="微软雅黑" w:eastAsia="微软雅黑" w:hAnsi="微软雅黑" w:cs="微软雅黑" w:hint="eastAsia"/>
          <w:sz w:val="24"/>
        </w:rPr>
        <w:t>2</w:t>
      </w:r>
      <w:r>
        <w:rPr>
          <w:rFonts w:ascii="微软雅黑" w:eastAsia="微软雅黑" w:hAnsi="微软雅黑" w:cs="微软雅黑" w:hint="eastAsia"/>
          <w:sz w:val="24"/>
        </w:rPr>
        <w:fldChar w:fldCharType="end"/>
      </w:r>
      <w:r>
        <w:rPr>
          <w:rFonts w:ascii="微软雅黑" w:eastAsia="微软雅黑" w:hAnsi="微软雅黑" w:cs="微软雅黑" w:hint="eastAsia"/>
          <w:sz w:val="24"/>
        </w:rPr>
        <w:t xml:space="preserve"> 2023年部门整体支出预算及执行情况</w:t>
      </w:r>
    </w:p>
    <w:tbl>
      <w:tblPr>
        <w:tblW w:w="9095" w:type="dxa"/>
        <w:jc w:val="center"/>
        <w:tblLayout w:type="fixed"/>
        <w:tblLook w:val="04A0" w:firstRow="1" w:lastRow="0" w:firstColumn="1" w:lastColumn="0" w:noHBand="0" w:noVBand="1"/>
      </w:tblPr>
      <w:tblGrid>
        <w:gridCol w:w="1052"/>
        <w:gridCol w:w="3805"/>
        <w:gridCol w:w="1425"/>
        <w:gridCol w:w="1238"/>
        <w:gridCol w:w="1575"/>
      </w:tblGrid>
      <w:tr w:rsidR="00F346E2">
        <w:trPr>
          <w:trHeight w:val="272"/>
          <w:tblHeade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类型</w:t>
            </w: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项目名称</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预算</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支出</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预算</w:t>
            </w:r>
          </w:p>
          <w:p w:rsidR="00F346E2" w:rsidRDefault="00BE79F1">
            <w:pPr>
              <w:widowControl/>
              <w:spacing w:line="40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执行率</w:t>
            </w:r>
          </w:p>
        </w:tc>
      </w:tr>
      <w:tr w:rsidR="00F346E2">
        <w:trPr>
          <w:trHeight w:val="272"/>
          <w:jc w:val="center"/>
        </w:trPr>
        <w:tc>
          <w:tcPr>
            <w:tcW w:w="48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部门整体</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1563.64</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1545.53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98.84%</w:t>
            </w:r>
          </w:p>
        </w:tc>
      </w:tr>
      <w:tr w:rsidR="00F346E2">
        <w:trPr>
          <w:trHeight w:val="272"/>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基本</w:t>
            </w:r>
          </w:p>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支出</w:t>
            </w: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基本支出</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1364.70</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1326.10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97.17%</w:t>
            </w:r>
          </w:p>
        </w:tc>
      </w:tr>
      <w:tr w:rsidR="00F346E2">
        <w:trPr>
          <w:trHeight w:val="272"/>
          <w:jc w:val="center"/>
        </w:trPr>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项目</w:t>
            </w:r>
          </w:p>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支出</w:t>
            </w: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信息系统运维类项目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28.85</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28.58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99.06%</w:t>
            </w:r>
          </w:p>
        </w:tc>
      </w:tr>
      <w:tr w:rsidR="00F346E2">
        <w:trPr>
          <w:trHeight w:val="272"/>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widowControl/>
              <w:spacing w:line="400" w:lineRule="exact"/>
              <w:jc w:val="center"/>
              <w:rPr>
                <w:rFonts w:ascii="仿宋_GB2312" w:eastAsia="仿宋_GB2312" w:hAnsi="仿宋_GB2312" w:cs="仿宋_GB2312"/>
                <w:color w:val="000000"/>
                <w:sz w:val="28"/>
                <w:szCs w:val="28"/>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重点调研课题经费</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33.00</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32.99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99.97%</w:t>
            </w:r>
          </w:p>
        </w:tc>
      </w:tr>
      <w:tr w:rsidR="00F346E2">
        <w:trPr>
          <w:trHeight w:val="272"/>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widowControl/>
              <w:spacing w:line="400" w:lineRule="exact"/>
              <w:jc w:val="center"/>
              <w:rPr>
                <w:rFonts w:ascii="仿宋_GB2312" w:eastAsia="仿宋_GB2312" w:hAnsi="仿宋_GB2312" w:cs="仿宋_GB2312"/>
                <w:color w:val="000000"/>
                <w:sz w:val="28"/>
                <w:szCs w:val="28"/>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宣传思想项目经费</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51.50</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51.50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100.00%</w:t>
            </w:r>
          </w:p>
        </w:tc>
      </w:tr>
      <w:tr w:rsidR="00F346E2">
        <w:trPr>
          <w:trHeight w:val="272"/>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widowControl/>
              <w:spacing w:line="400" w:lineRule="exact"/>
              <w:jc w:val="center"/>
              <w:rPr>
                <w:rFonts w:ascii="仿宋_GB2312" w:eastAsia="仿宋_GB2312" w:hAnsi="仿宋_GB2312" w:cs="仿宋_GB2312"/>
                <w:color w:val="000000"/>
                <w:sz w:val="28"/>
                <w:szCs w:val="28"/>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后备骨干学习班经费</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9.50</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9.50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100.00%</w:t>
            </w:r>
          </w:p>
        </w:tc>
      </w:tr>
      <w:tr w:rsidR="00F346E2">
        <w:trPr>
          <w:trHeight w:val="272"/>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widowControl/>
              <w:spacing w:line="400" w:lineRule="exact"/>
              <w:jc w:val="center"/>
              <w:rPr>
                <w:rFonts w:ascii="仿宋_GB2312" w:eastAsia="仿宋_GB2312" w:hAnsi="仿宋_GB2312" w:cs="仿宋_GB2312"/>
                <w:color w:val="000000"/>
                <w:sz w:val="28"/>
                <w:szCs w:val="28"/>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社会服务经费</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16.50</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15.81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95.82%</w:t>
            </w:r>
          </w:p>
        </w:tc>
      </w:tr>
      <w:tr w:rsidR="00F346E2">
        <w:trPr>
          <w:trHeight w:val="272"/>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widowControl/>
              <w:spacing w:line="400" w:lineRule="exact"/>
              <w:jc w:val="center"/>
              <w:rPr>
                <w:rFonts w:ascii="仿宋_GB2312" w:eastAsia="仿宋_GB2312" w:hAnsi="仿宋_GB2312" w:cs="仿宋_GB2312"/>
                <w:color w:val="000000"/>
                <w:sz w:val="28"/>
                <w:szCs w:val="28"/>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绩效评价经费</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8.00</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8.00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100.00%</w:t>
            </w:r>
          </w:p>
        </w:tc>
      </w:tr>
      <w:tr w:rsidR="00F346E2">
        <w:trPr>
          <w:trHeight w:val="272"/>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widowControl/>
              <w:spacing w:line="400" w:lineRule="exact"/>
              <w:jc w:val="center"/>
              <w:rPr>
                <w:rFonts w:ascii="仿宋_GB2312" w:eastAsia="仿宋_GB2312" w:hAnsi="仿宋_GB2312" w:cs="仿宋_GB2312"/>
                <w:color w:val="000000"/>
                <w:sz w:val="28"/>
                <w:szCs w:val="28"/>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民主党派市委直属组织经费</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28.08</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28.03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99.82%</w:t>
            </w:r>
          </w:p>
        </w:tc>
      </w:tr>
      <w:tr w:rsidR="00F346E2">
        <w:trPr>
          <w:trHeight w:val="272"/>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widowControl/>
              <w:spacing w:line="400" w:lineRule="exact"/>
              <w:jc w:val="center"/>
              <w:rPr>
                <w:rFonts w:ascii="仿宋_GB2312" w:eastAsia="仿宋_GB2312" w:hAnsi="仿宋_GB2312" w:cs="仿宋_GB2312"/>
                <w:color w:val="000000"/>
                <w:sz w:val="28"/>
                <w:szCs w:val="28"/>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总体</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175.43</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174.42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spacing w:line="40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99.42%</w:t>
            </w:r>
          </w:p>
        </w:tc>
      </w:tr>
    </w:tbl>
    <w:p w:rsidR="00F346E2" w:rsidRDefault="00BE79F1">
      <w:pPr>
        <w:pStyle w:val="1"/>
        <w:keepNext w:val="0"/>
        <w:keepLines w:val="0"/>
        <w:spacing w:before="0" w:after="0" w:line="600" w:lineRule="exact"/>
        <w:ind w:firstLineChars="200" w:firstLine="640"/>
        <w:rPr>
          <w:rFonts w:ascii="黑体" w:eastAsia="黑体" w:hAnsi="黑体" w:cs="黑体"/>
          <w:b w:val="0"/>
          <w:bCs/>
          <w:sz w:val="32"/>
          <w:szCs w:val="32"/>
        </w:rPr>
      </w:pPr>
      <w:bookmarkStart w:id="11" w:name="_Toc15115"/>
      <w:r>
        <w:rPr>
          <w:rFonts w:ascii="黑体" w:eastAsia="黑体" w:hAnsi="黑体" w:cs="黑体" w:hint="eastAsia"/>
          <w:b w:val="0"/>
          <w:bCs/>
          <w:sz w:val="32"/>
          <w:szCs w:val="32"/>
        </w:rPr>
        <w:t>三、整体绩效目标实现情况</w:t>
      </w:r>
      <w:bookmarkEnd w:id="11"/>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12" w:name="_Toc26396"/>
      <w:r>
        <w:rPr>
          <w:rFonts w:ascii="楷体_GB2312" w:eastAsia="楷体_GB2312" w:hAnsi="楷体_GB2312" w:cs="楷体_GB2312" w:hint="eastAsia"/>
          <w:b w:val="0"/>
          <w:bCs/>
        </w:rPr>
        <w:t>（一）产出完成情况分析</w:t>
      </w:r>
      <w:bookmarkEnd w:id="12"/>
    </w:p>
    <w:p w:rsidR="00F346E2" w:rsidRDefault="00BE79F1">
      <w:pPr>
        <w:widowControl/>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产出完成情况（30分）。主要从产出数量、产出质量、产出进度和产出成本4项内容进行评价。根据部门整体支出绩效评价表，产出指标总得分30分，其中产出数量6分、产出质量12分、产出进度6分、产出成本6分。针对项目完成率、项目达标率、项目成果转化与获奖情况、是否按时完成保质保量工作和成本控制率进行绩效评价。此项综合评价得分为30.00分。</w:t>
      </w:r>
    </w:p>
    <w:p w:rsidR="00F346E2" w:rsidRDefault="00BE79F1">
      <w:pPr>
        <w:pStyle w:val="a3"/>
        <w:ind w:firstLine="643"/>
        <w:rPr>
          <w:rFonts w:ascii="仿宋_GB2312" w:eastAsia="仿宋_GB2312" w:cs="仿宋_GB2312"/>
          <w:b/>
          <w:bCs/>
          <w:sz w:val="32"/>
          <w:szCs w:val="32"/>
        </w:rPr>
      </w:pPr>
      <w:r>
        <w:rPr>
          <w:rFonts w:ascii="仿宋_GB2312" w:eastAsia="仿宋_GB2312" w:cs="仿宋_GB2312" w:hint="eastAsia"/>
          <w:b/>
          <w:bCs/>
          <w:sz w:val="32"/>
          <w:szCs w:val="32"/>
        </w:rPr>
        <w:t>1.产出数量</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农工党北京市委坚持把凝聚人心、汇聚力量的政治任务列为奋进新征程的首要基本任务，将深入学习贯彻习近平新时代中国特色社会主义思想和中共二十大精神作为市委全</w:t>
      </w:r>
      <w:r>
        <w:rPr>
          <w:rFonts w:ascii="仿宋_GB2312" w:eastAsia="仿宋_GB2312" w:hint="eastAsia"/>
          <w:sz w:val="32"/>
          <w:szCs w:val="32"/>
        </w:rPr>
        <w:lastRenderedPageBreak/>
        <w:t>委会、常委会、主委会、机关办公会的第一议题，不断强化思想政治引领，推动思想政治工作与参政履职和自身建设有机融合。围绕习近平总书记重要讲话和重要指示批示精神、全国两会精神等开展理论学习中心组学习（扩大）会议7次。</w:t>
      </w:r>
      <w:r>
        <w:rPr>
          <w:rFonts w:ascii="仿宋_GB2312" w:eastAsia="仿宋_GB2312" w:cs="仿宋_GB2312" w:hint="eastAsia"/>
          <w:sz w:val="32"/>
          <w:szCs w:val="32"/>
        </w:rPr>
        <w:t>主要领导在《人民日报》、“求是网”等发表学习文章10余篇，有效发挥示范引领作用。持续擦亮宣传品牌，聚焦参政履职、党史学习等举办新语大讲堂4期。围绕中共中央发布“五一口号”75周年等重要时间节点，开展“重走‘进京赶考路’再悟多党合作史”参观学习，举办主题征文、座谈学习、文艺创作等系列专题活动，深化政治交接。联合开展党员思想状况调研、青年党员思想现状研究，及时掌握党员思想动态。</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深入开展“凝心铸魂强根基、团结奋进新征程”主题教育，推动主题教育与理论学习、参政履职、解决实际问题、加强自身建设融合发展，一体推进，累计开展主题征文、参观学习、健康宣教、“环境与健康宣传周”等各类专题活动130场次以上、参与人数8000人次以上。</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强化党史宣教，微信公众号开设党史人物专栏，开展《人心所向 历史抉择：农工党接受中国共产党领导的历史过程》主题讲座和农工党在北平早期革命活动研究，启动农工党北京市委发展简史研究、征文活动等，8位党员征文入选北京市政协《双奥之城》，纪念农工党创始人之一季方的文章《三</w:t>
      </w:r>
      <w:r>
        <w:rPr>
          <w:rFonts w:ascii="仿宋_GB2312" w:eastAsia="仿宋_GB2312" w:cs="仿宋_GB2312" w:hint="eastAsia"/>
          <w:sz w:val="32"/>
          <w:szCs w:val="32"/>
        </w:rPr>
        <w:lastRenderedPageBreak/>
        <w:t>个三十年——怀念祖父季方》被《北京文史资料》初审采用。</w:t>
      </w:r>
    </w:p>
    <w:p w:rsidR="00F346E2" w:rsidRDefault="00BE79F1">
      <w:pPr>
        <w:pStyle w:val="a3"/>
        <w:ind w:firstLine="643"/>
        <w:rPr>
          <w:rFonts w:ascii="仿宋_GB2312" w:eastAsia="仿宋_GB2312" w:cs="仿宋_GB2312"/>
          <w:b/>
          <w:bCs/>
          <w:sz w:val="32"/>
          <w:szCs w:val="32"/>
        </w:rPr>
      </w:pPr>
      <w:r>
        <w:rPr>
          <w:rFonts w:ascii="仿宋_GB2312" w:eastAsia="仿宋_GB2312" w:cs="仿宋_GB2312" w:hint="eastAsia"/>
          <w:b/>
          <w:bCs/>
          <w:sz w:val="32"/>
          <w:szCs w:val="32"/>
        </w:rPr>
        <w:t>2.产出质量</w:t>
      </w:r>
    </w:p>
    <w:p w:rsidR="00F346E2" w:rsidRDefault="00BE79F1">
      <w:pPr>
        <w:ind w:firstLineChars="200" w:firstLine="640"/>
        <w:rPr>
          <w:rFonts w:ascii="仿宋_GB2312" w:eastAsia="仿宋_GB2312"/>
          <w:sz w:val="32"/>
          <w:szCs w:val="32"/>
        </w:rPr>
      </w:pPr>
      <w:r>
        <w:rPr>
          <w:rFonts w:ascii="仿宋_GB2312" w:eastAsia="仿宋_GB2312" w:cs="仿宋_GB2312" w:hint="eastAsia"/>
          <w:sz w:val="32"/>
          <w:szCs w:val="32"/>
        </w:rPr>
        <w:t>在报送的20篇参与农工党中央理论征文活动的征文中，获奖16篇，获奖率达到80%，其中一等奖2篇，二等奖3篇，三等奖11篇，其中理论研究委员会完成2项中标课题，中央征文获奖7篇。向中共北京市委统战部报送2023年理论研究成果8篇，向北京市人民政协理论与实践研究会报送论文4篇。</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农工党北京市委围绕参政党履职，做好主题主线宣传，聚焦中心工作策划选题，推出非凡十年、健康京郊行、有医说医、冬奥回眸等一系列重大选题及重要宣传项目28个，全力讲好中国新型政党制度故事，讲好农工党故事。协调北京电视台、《北京日报》《人民政协报》等重点新闻媒体，对首届美丽北京大家谈、委员履职“服务为民”等重大活动和中心工作深入报道17次。完成《北京农工》杂志全面改版，不断深化“一网一微一刊”差异化发展。2023年全年共推出微信公众号文章652篇、网站信息526篇，“非凡十年”系列阅读人数创新高。</w:t>
      </w:r>
    </w:p>
    <w:p w:rsidR="00F346E2" w:rsidRDefault="00BE79F1">
      <w:pPr>
        <w:pStyle w:val="a3"/>
        <w:ind w:firstLine="640"/>
        <w:rPr>
          <w:rFonts w:ascii="仿宋_GB2312" w:eastAsia="仿宋_GB2312" w:cs="仿宋_GB2312"/>
          <w:sz w:val="32"/>
          <w:szCs w:val="32"/>
        </w:rPr>
      </w:pPr>
      <w:r>
        <w:rPr>
          <w:rFonts w:ascii="仿宋_GB2312" w:eastAsia="仿宋_GB2312" w:cs="仿宋_GB2312" w:hint="eastAsia"/>
          <w:sz w:val="32"/>
          <w:szCs w:val="32"/>
        </w:rPr>
        <w:t>农工党北京市委</w:t>
      </w:r>
      <w:r>
        <w:rPr>
          <w:rFonts w:ascii="仿宋_GB2312" w:eastAsia="仿宋_GB2312" w:hint="eastAsia"/>
          <w:bCs/>
          <w:kern w:val="0"/>
          <w:sz w:val="32"/>
          <w:szCs w:val="32"/>
        </w:rPr>
        <w:t>围绕议政会、政党协商会的5个议题，组织6个（联合）立项课题同步从12个方向开展课题研究，同时积极参与政党协商和市政协协商议题联合调研，确保调研质量，择优转化发言。政党协商会上，从加快推进细胞和</w:t>
      </w:r>
      <w:r>
        <w:rPr>
          <w:rFonts w:ascii="仿宋_GB2312" w:eastAsia="仿宋_GB2312" w:hint="eastAsia"/>
          <w:bCs/>
          <w:kern w:val="0"/>
          <w:sz w:val="32"/>
          <w:szCs w:val="32"/>
        </w:rPr>
        <w:lastRenderedPageBreak/>
        <w:t>基因治疗产业创新发展角度提出建议，得到中共市委充分肯定。多角度充分发挥提案的参政议政作用，向市政协提交7件党派提案、3件界别提案和5件大会发言，另有3件素材转化为农工党中央集体提案提交全国政协。在刚闭幕的政协会上，2件党派提案、1件界别提案和3件委员提案获优秀提案表彰。</w:t>
      </w:r>
    </w:p>
    <w:p w:rsidR="00F346E2" w:rsidRDefault="00BE79F1">
      <w:pPr>
        <w:pStyle w:val="a3"/>
        <w:ind w:firstLine="643"/>
        <w:rPr>
          <w:rFonts w:ascii="仿宋_GB2312" w:eastAsia="仿宋_GB2312"/>
          <w:b/>
          <w:bCs/>
          <w:sz w:val="32"/>
          <w:szCs w:val="32"/>
        </w:rPr>
      </w:pPr>
      <w:r>
        <w:rPr>
          <w:rFonts w:ascii="仿宋_GB2312" w:eastAsia="仿宋_GB2312" w:cs="仿宋_GB2312" w:hint="eastAsia"/>
          <w:b/>
          <w:bCs/>
          <w:sz w:val="32"/>
          <w:szCs w:val="32"/>
        </w:rPr>
        <w:t>3.产出进度</w:t>
      </w:r>
    </w:p>
    <w:p w:rsidR="00F346E2" w:rsidRDefault="00BE79F1">
      <w:pPr>
        <w:pStyle w:val="a3"/>
        <w:ind w:firstLine="640"/>
        <w:rPr>
          <w:rFonts w:ascii="仿宋_GB2312" w:eastAsia="仿宋_GB2312"/>
          <w:b/>
          <w:bCs/>
          <w:sz w:val="32"/>
          <w:szCs w:val="32"/>
        </w:rPr>
      </w:pPr>
      <w:r>
        <w:rPr>
          <w:rFonts w:ascii="仿宋_GB2312" w:eastAsia="仿宋_GB2312" w:cs="仿宋_GB2312" w:hint="eastAsia"/>
          <w:sz w:val="32"/>
          <w:szCs w:val="32"/>
        </w:rPr>
        <w:t>对照7个项目的绩效申报表所列2023年度绩效目标任务，对各项目2023年度目标任务和计划安排进行核查，</w:t>
      </w:r>
      <w:r>
        <w:rPr>
          <w:rFonts w:ascii="仿宋_GB2312" w:eastAsia="仿宋_GB2312" w:hint="eastAsia"/>
          <w:sz w:val="32"/>
          <w:szCs w:val="32"/>
        </w:rPr>
        <w:t>各项目均基本按时保质完成。</w:t>
      </w:r>
    </w:p>
    <w:p w:rsidR="00F346E2" w:rsidRDefault="00BE79F1">
      <w:pPr>
        <w:pStyle w:val="a3"/>
        <w:ind w:firstLine="643"/>
        <w:rPr>
          <w:rFonts w:ascii="仿宋_GB2312" w:eastAsia="仿宋_GB2312"/>
          <w:b/>
          <w:bCs/>
          <w:sz w:val="32"/>
          <w:szCs w:val="32"/>
        </w:rPr>
      </w:pPr>
      <w:r>
        <w:rPr>
          <w:rFonts w:ascii="仿宋_GB2312" w:eastAsia="仿宋_GB2312" w:hint="eastAsia"/>
          <w:b/>
          <w:bCs/>
          <w:sz w:val="32"/>
          <w:szCs w:val="32"/>
        </w:rPr>
        <w:t>4.</w:t>
      </w:r>
      <w:r>
        <w:rPr>
          <w:rFonts w:ascii="仿宋_GB2312" w:eastAsia="仿宋_GB2312" w:cs="仿宋_GB2312" w:hint="eastAsia"/>
          <w:b/>
          <w:bCs/>
          <w:sz w:val="32"/>
          <w:szCs w:val="32"/>
        </w:rPr>
        <w:t>产出成本</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资金总体在预算范围内，成本控制率为98.84%。基本支出成本和项目支出成本控制率均保持在高位水平，总体决预算差异较小，资金预算科学、合理，预算落实严谨、到位。</w:t>
      </w:r>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13" w:name="_Toc4284"/>
      <w:r>
        <w:rPr>
          <w:rFonts w:ascii="楷体_GB2312" w:eastAsia="楷体_GB2312" w:hAnsi="楷体_GB2312" w:cs="楷体_GB2312" w:hint="eastAsia"/>
          <w:b w:val="0"/>
          <w:bCs/>
        </w:rPr>
        <w:t>（二）效果实现情况分析</w:t>
      </w:r>
      <w:bookmarkEnd w:id="13"/>
    </w:p>
    <w:p w:rsidR="00F346E2" w:rsidRDefault="00BE79F1">
      <w:pPr>
        <w:pStyle w:val="a3"/>
        <w:ind w:firstLine="640"/>
        <w:rPr>
          <w:rFonts w:ascii="仿宋_GB2312" w:eastAsia="仿宋_GB2312"/>
          <w:sz w:val="32"/>
          <w:szCs w:val="32"/>
        </w:rPr>
      </w:pPr>
      <w:r>
        <w:rPr>
          <w:rFonts w:ascii="仿宋_GB2312" w:eastAsia="仿宋_GB2312" w:hint="eastAsia"/>
          <w:sz w:val="32"/>
          <w:szCs w:val="32"/>
        </w:rPr>
        <w:t>效果实现情况（30分）。针对经济效益、社会效益、生态效益或可持续影响、行政效能、社会公众或服务对象满意度进行绩效评价。</w:t>
      </w:r>
      <w:r>
        <w:rPr>
          <w:rFonts w:ascii="仿宋_GB2312" w:eastAsia="仿宋_GB2312" w:cs="仿宋_GB2312" w:hint="eastAsia"/>
          <w:sz w:val="32"/>
          <w:szCs w:val="32"/>
        </w:rPr>
        <w:t>根据部门整体支出绩效评价表，</w:t>
      </w:r>
      <w:r>
        <w:rPr>
          <w:rFonts w:ascii="仿宋_GB2312" w:eastAsia="仿宋_GB2312" w:hint="eastAsia"/>
          <w:sz w:val="32"/>
          <w:szCs w:val="32"/>
        </w:rPr>
        <w:t>效果实现</w:t>
      </w:r>
      <w:r>
        <w:rPr>
          <w:rFonts w:ascii="仿宋_GB2312" w:eastAsia="仿宋_GB2312" w:cs="仿宋_GB2312" w:hint="eastAsia"/>
          <w:sz w:val="32"/>
          <w:szCs w:val="32"/>
        </w:rPr>
        <w:t>指标总得分30分，其中经济效益5分、社会效益12分、可持续影响8分、服务对象满意度5分。</w:t>
      </w:r>
      <w:r>
        <w:rPr>
          <w:rFonts w:ascii="仿宋_GB2312" w:eastAsia="仿宋_GB2312" w:hint="eastAsia"/>
          <w:sz w:val="32"/>
          <w:szCs w:val="32"/>
        </w:rPr>
        <w:t>此项综合评价得分为26.00分。扣分项为：一是经济效益指标“带动当地产业发展，促进生物医药等产业开拓创新，持续开展精准帮扶工作”</w:t>
      </w:r>
      <w:r>
        <w:rPr>
          <w:rFonts w:ascii="仿宋_GB2312" w:eastAsia="仿宋_GB2312" w:hint="eastAsia"/>
          <w:sz w:val="32"/>
          <w:szCs w:val="32"/>
        </w:rPr>
        <w:lastRenderedPageBreak/>
        <w:t>除开展论坛活动、成立智库合作基地等措施外，还可通过其他方式进一步带动产业发展。二是可持续影响指标“建立长效机制”中缺乏对不同项目机制的分门别类、长效常态化监督管理，整体精细化水平有待进一步提升；“提升农工党影响力”中农工党影响力有待进一步提升。三是服务对象满意度指标中项目整体实施效果良好，服务对象的好评反馈较多，但缺乏满意度调查规范化管理过程材料，如调查问卷、实际回收数据、数据分析具体结果等。</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社会效益指相关产出对社会发展带来的影响和效果，如产生的社会贡献、行业贡献及其影响力。农工党北京市委通过议政建言、课题研究、党史宣教、社情民意反映、民主监督、征文评选等多种形式不断提高党员统战理论水平、参政议政能力，充分发挥党员在不同行业、领域的先锋模范作用，积极促进社会、文化、经济多领域高质量发展。</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可持续影响指标指间接中长期影响力。通过开展7个项目，深入开展主题教育活动，创新党史宣传、党史研究形式、举办多样化的文化实践活动，不断加强思想政治引领，推动建立各类项目长效机制，持续不断提升和扩大农工党专业性和影响力，并结合自身专业领域研究，为首都经济社会发展、产业发展提供创新性强、建设性高的专业意见，不但开拓创新、打造更加全面、专业的交流合作平台，推动履职尽责提质增效，围绕经济社会高质量发展、产业经济优质转型、人</w:t>
      </w:r>
      <w:r>
        <w:rPr>
          <w:rFonts w:ascii="仿宋_GB2312" w:eastAsia="仿宋_GB2312" w:hint="eastAsia"/>
          <w:sz w:val="32"/>
          <w:szCs w:val="32"/>
        </w:rPr>
        <w:lastRenderedPageBreak/>
        <w:t>与自然和谐共生等主题，持续不断助力提升首都城市治理水平。</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经济效益指标指相关产出对经济发展带来的影响和效果，包括直接经济效益和间接经济效益，如项目既定投入产出带来的利润或收益率等。2023年农工党北京市委本着脱贫不断线、把帮扶进行到底的理念，持续开展帮扶工作。充分发挥党员资源优势，凝聚各方力量开展工作，对江镇大方县、元宝村等区域制定精准帮扶计划，并签订结对协议，各项帮扶工作持续有序开展。此外，持续开拓创新，打造交流合作平台，成立智库合作基地，出台相关工作制度。重点面向高校、社会组织、企业等，邀请市医药卫生科技促进中心、对外经济贸易大学涉外法治研究院、京东集团公共政策研究院等5家研究团队作为基地成员单位，借力“外脑”，提高建言质量，形成智慧共享、优势互补、合作共赢的工作格局，助力生物医药产业创新、健康、有序发展。</w:t>
      </w:r>
    </w:p>
    <w:p w:rsidR="00F346E2" w:rsidRDefault="00BE79F1">
      <w:pPr>
        <w:pStyle w:val="1"/>
        <w:keepNext w:val="0"/>
        <w:keepLines w:val="0"/>
        <w:spacing w:before="0" w:after="0" w:line="600" w:lineRule="exact"/>
        <w:ind w:firstLineChars="200" w:firstLine="640"/>
        <w:rPr>
          <w:rFonts w:ascii="黑体" w:eastAsia="黑体" w:hAnsi="黑体" w:cs="黑体"/>
          <w:b w:val="0"/>
          <w:bCs/>
          <w:sz w:val="32"/>
          <w:szCs w:val="32"/>
        </w:rPr>
      </w:pPr>
      <w:bookmarkStart w:id="14" w:name="_Toc13720"/>
      <w:r>
        <w:rPr>
          <w:rFonts w:ascii="黑体" w:eastAsia="黑体" w:hAnsi="黑体" w:cs="黑体" w:hint="eastAsia"/>
          <w:b w:val="0"/>
          <w:bCs/>
          <w:sz w:val="32"/>
          <w:szCs w:val="32"/>
        </w:rPr>
        <w:t>四、预算管理情况分析</w:t>
      </w:r>
      <w:bookmarkEnd w:id="14"/>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15" w:name="_Toc8253"/>
      <w:r>
        <w:rPr>
          <w:rFonts w:ascii="楷体_GB2312" w:eastAsia="楷体_GB2312" w:hAnsi="楷体_GB2312" w:cs="楷体_GB2312" w:hint="eastAsia"/>
          <w:b w:val="0"/>
          <w:bCs/>
        </w:rPr>
        <w:t>（一）财务管理</w:t>
      </w:r>
      <w:bookmarkEnd w:id="15"/>
    </w:p>
    <w:p w:rsidR="00F346E2" w:rsidRDefault="00BE79F1">
      <w:pPr>
        <w:pStyle w:val="a3"/>
        <w:ind w:firstLine="643"/>
        <w:rPr>
          <w:rFonts w:ascii="仿宋_GB2312" w:eastAsia="仿宋_GB2312"/>
          <w:b/>
          <w:bCs/>
          <w:sz w:val="32"/>
          <w:szCs w:val="32"/>
        </w:rPr>
      </w:pPr>
      <w:r>
        <w:rPr>
          <w:rFonts w:ascii="仿宋_GB2312" w:eastAsia="仿宋_GB2312" w:hint="eastAsia"/>
          <w:b/>
          <w:bCs/>
          <w:sz w:val="32"/>
          <w:szCs w:val="32"/>
        </w:rPr>
        <w:t>1.财务制度管理健全性</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财务制度管理健全性（1分）。经查阅，农工党北京市委制定了《中国农工民主党北京市委员会机关财务管理制度》《农工党北京市委机关办公用品管理规定》，制定了相应的内部控制制度，明确了经费审批原则、权限及流程，经费报</w:t>
      </w:r>
      <w:r>
        <w:rPr>
          <w:rFonts w:ascii="仿宋_GB2312" w:eastAsia="仿宋_GB2312" w:hint="eastAsia"/>
          <w:sz w:val="32"/>
          <w:szCs w:val="32"/>
        </w:rPr>
        <w:lastRenderedPageBreak/>
        <w:t>销流程及相关要求，会计交接制度、采购方式及流程、物品管理等制度和要求等。</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总体来看，农工党北京市委财务管理制度完整、合规，制度执行有效。此项综合评价得分为1分。</w:t>
      </w:r>
    </w:p>
    <w:p w:rsidR="00F346E2" w:rsidRDefault="00BE79F1">
      <w:pPr>
        <w:pStyle w:val="a3"/>
        <w:ind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b/>
          <w:bCs/>
          <w:sz w:val="32"/>
          <w:szCs w:val="32"/>
        </w:rPr>
        <w:t>资金使用合规性和安全性</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资金使用合规性和安全性（2分）。农工党北京市委资金使用严格按照《中国农工民主党北京市委员会机关财务管理制度》《农工党北京市委机关办公用品管理规定》规定执行，资金拨付均有领款人、科室负责人、单位领导等签字，财务资料归档规范、完整，项目核查过程中未发现有截留、挤占、挪用、虚列支出等问题，整体资金使用符合部门预算批复的用途。此项综合评价得分为2分。</w:t>
      </w:r>
    </w:p>
    <w:p w:rsidR="00F346E2" w:rsidRDefault="00BE79F1">
      <w:pPr>
        <w:pStyle w:val="a3"/>
        <w:ind w:firstLine="643"/>
        <w:rPr>
          <w:rFonts w:ascii="仿宋_GB2312" w:eastAsia="仿宋_GB2312"/>
          <w:b/>
          <w:bCs/>
          <w:sz w:val="32"/>
          <w:szCs w:val="32"/>
        </w:rPr>
      </w:pPr>
      <w:r>
        <w:rPr>
          <w:rFonts w:ascii="仿宋_GB2312" w:eastAsia="仿宋_GB2312" w:hint="eastAsia"/>
          <w:b/>
          <w:bCs/>
          <w:sz w:val="32"/>
          <w:szCs w:val="32"/>
        </w:rPr>
        <w:t>3.会计基础信息完善性</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会计基础信息完善性（1分）。会计基础信息用以反映和评价基础信息对预算管理工作的支撑情况。通过已有数据信息资料进行查阅，农工党北京市委</w:t>
      </w:r>
      <w:r>
        <w:rPr>
          <w:rFonts w:ascii="仿宋_GB2312" w:eastAsia="仿宋_GB2312"/>
          <w:sz w:val="32"/>
          <w:szCs w:val="32"/>
        </w:rPr>
        <w:t>基础数据信息和会计信息资料真实</w:t>
      </w:r>
      <w:r>
        <w:rPr>
          <w:rFonts w:ascii="仿宋_GB2312" w:eastAsia="仿宋_GB2312" w:hint="eastAsia"/>
          <w:sz w:val="32"/>
          <w:szCs w:val="32"/>
        </w:rPr>
        <w:t>、完整、准确，会计基础信息完善程度较高、合理性佳。此项综合评价得分为1分。</w:t>
      </w:r>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16" w:name="_Toc22867"/>
      <w:r>
        <w:rPr>
          <w:rFonts w:ascii="楷体_GB2312" w:eastAsia="楷体_GB2312" w:hAnsi="楷体_GB2312" w:cs="楷体_GB2312" w:hint="eastAsia"/>
          <w:b w:val="0"/>
          <w:bCs/>
        </w:rPr>
        <w:t>（二）资产管理</w:t>
      </w:r>
      <w:bookmarkEnd w:id="16"/>
    </w:p>
    <w:p w:rsidR="00F346E2" w:rsidRDefault="00BE79F1">
      <w:pPr>
        <w:pStyle w:val="a3"/>
        <w:ind w:firstLine="640"/>
        <w:rPr>
          <w:rFonts w:ascii="仿宋_GB2312" w:eastAsia="仿宋_GB2312"/>
          <w:sz w:val="32"/>
          <w:szCs w:val="32"/>
        </w:rPr>
      </w:pPr>
      <w:r>
        <w:rPr>
          <w:rFonts w:ascii="仿宋_GB2312" w:eastAsia="仿宋_GB2312" w:hint="eastAsia"/>
          <w:sz w:val="32"/>
          <w:szCs w:val="32"/>
        </w:rPr>
        <w:t>资产管理（4分）。部门的资产是否保存完整、使用合规、收入及时足额上缴，用以反映和评价部门资产运行情况。针对资产管理制度健全性、资产管理安全性、固定资产利用</w:t>
      </w:r>
      <w:r>
        <w:rPr>
          <w:rFonts w:ascii="仿宋_GB2312" w:eastAsia="仿宋_GB2312" w:hint="eastAsia"/>
          <w:sz w:val="32"/>
          <w:szCs w:val="32"/>
        </w:rPr>
        <w:lastRenderedPageBreak/>
        <w:t>率等进行绩效评价。农工党北京市委部门资产配置、使用和处理合理规范，未存在严重资产损失和丢失情况，此项综合评价得分为4分。</w:t>
      </w:r>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17" w:name="_Toc29941"/>
      <w:r>
        <w:rPr>
          <w:rFonts w:ascii="楷体_GB2312" w:eastAsia="楷体_GB2312" w:hAnsi="楷体_GB2312" w:cs="楷体_GB2312" w:hint="eastAsia"/>
          <w:b w:val="0"/>
          <w:bCs/>
        </w:rPr>
        <w:t>（三）绩效管理</w:t>
      </w:r>
      <w:bookmarkEnd w:id="17"/>
    </w:p>
    <w:p w:rsidR="00F346E2" w:rsidRDefault="00BE79F1">
      <w:pPr>
        <w:pStyle w:val="a3"/>
        <w:ind w:firstLine="640"/>
        <w:rPr>
          <w:rFonts w:ascii="仿宋_GB2312" w:eastAsia="仿宋_GB2312"/>
          <w:sz w:val="32"/>
          <w:szCs w:val="32"/>
        </w:rPr>
      </w:pPr>
      <w:r>
        <w:rPr>
          <w:rFonts w:ascii="仿宋_GB2312" w:eastAsia="仿宋_GB2312" w:hint="eastAsia"/>
          <w:sz w:val="32"/>
          <w:szCs w:val="32"/>
        </w:rPr>
        <w:t>绩效管理（4分）。针对管理制度健全性、落实绩效主体责任、整改落实、资料、信息报送、预决算公开的及时性等进行绩效评价。农工党北京市委依据财政部《预算绩效管理工作规划（20122015)》（财预〔2012〕396号）、财政部《项目支出绩效评价管理办法》、北京市财政局《北京市项目支出绩效评价管理办法》，明确了部门应根据北京市委市政府、农工党中央的重大决策部署，结合本部门职能，全面设置整体绩效目标、政策及项目绩效目标，并依据绩效目标、支出标准合理确定预算需求；审核和评估结果作为项目决策及预算安排的前置条件。对涉及175.43万元项目预算资金的7个项目的绩效信息及时进行汇总分析整理并对绩效目标偏离情况进行及时矫正。此项综合评价得分为4分。</w:t>
      </w:r>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18" w:name="_Toc30607"/>
      <w:r>
        <w:rPr>
          <w:rFonts w:ascii="楷体_GB2312" w:eastAsia="楷体_GB2312" w:hAnsi="楷体_GB2312" w:cs="楷体_GB2312" w:hint="eastAsia"/>
          <w:b w:val="0"/>
          <w:bCs/>
        </w:rPr>
        <w:t>（四）结转结余率</w:t>
      </w:r>
      <w:bookmarkEnd w:id="18"/>
    </w:p>
    <w:p w:rsidR="00F346E2" w:rsidRDefault="00BE79F1">
      <w:pPr>
        <w:pStyle w:val="a3"/>
        <w:ind w:firstLine="640"/>
        <w:rPr>
          <w:rFonts w:ascii="仿宋_GB2312" w:eastAsia="仿宋_GB2312"/>
          <w:sz w:val="32"/>
          <w:szCs w:val="32"/>
        </w:rPr>
      </w:pPr>
      <w:r>
        <w:rPr>
          <w:rFonts w:ascii="仿宋_GB2312" w:eastAsia="仿宋_GB2312" w:hint="eastAsia"/>
          <w:sz w:val="32"/>
          <w:szCs w:val="32"/>
        </w:rPr>
        <w:t>结转结余率（4分）。通过对部门本年度结转结余总额与支出预算数的比较，反映和评价部门对本年度结转结余资金的实际控制程度。通过结转结余率计算，农工党北京市委此项综合评价得分为4分。</w:t>
      </w:r>
    </w:p>
    <w:p w:rsidR="00F346E2" w:rsidRDefault="00BE79F1">
      <w:pPr>
        <w:rPr>
          <w:rFonts w:ascii="楷体_GB2312" w:eastAsia="楷体_GB2312" w:hAnsi="楷体_GB2312" w:cs="楷体_GB2312"/>
          <w:bCs/>
        </w:rPr>
      </w:pPr>
      <w:bookmarkStart w:id="19" w:name="_Toc12463"/>
      <w:r>
        <w:rPr>
          <w:rFonts w:ascii="楷体_GB2312" w:eastAsia="楷体_GB2312" w:hAnsi="楷体_GB2312" w:cs="楷体_GB2312" w:hint="eastAsia"/>
          <w:bCs/>
        </w:rPr>
        <w:br w:type="page"/>
      </w:r>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r>
        <w:rPr>
          <w:rFonts w:ascii="楷体_GB2312" w:eastAsia="楷体_GB2312" w:hAnsi="楷体_GB2312" w:cs="楷体_GB2312" w:hint="eastAsia"/>
          <w:b w:val="0"/>
          <w:bCs/>
        </w:rPr>
        <w:lastRenderedPageBreak/>
        <w:t>（五）部门预决算差异率</w:t>
      </w:r>
      <w:bookmarkEnd w:id="19"/>
    </w:p>
    <w:p w:rsidR="00F346E2" w:rsidRDefault="00BE79F1">
      <w:pPr>
        <w:pStyle w:val="a3"/>
        <w:ind w:firstLine="640"/>
        <w:rPr>
          <w:rFonts w:ascii="仿宋_GB2312" w:eastAsia="仿宋_GB2312"/>
          <w:sz w:val="32"/>
          <w:szCs w:val="32"/>
        </w:rPr>
      </w:pPr>
      <w:r>
        <w:rPr>
          <w:rFonts w:ascii="仿宋_GB2312" w:eastAsia="仿宋_GB2312" w:hint="eastAsia"/>
          <w:sz w:val="32"/>
          <w:szCs w:val="32"/>
        </w:rPr>
        <w:t>部门预决算差异率（4分）。通过年度部门决算与年初部门预算对比，对部门的年度支出情况进行考核，衡量部门预算的约束力。通过部门预决算差异率计算，农工党北京市委此项综合评价得分为4分。</w:t>
      </w:r>
    </w:p>
    <w:p w:rsidR="00F346E2" w:rsidRDefault="00BE79F1">
      <w:pPr>
        <w:pStyle w:val="1"/>
        <w:keepNext w:val="0"/>
        <w:keepLines w:val="0"/>
        <w:spacing w:before="0" w:after="0" w:line="600" w:lineRule="exact"/>
        <w:ind w:firstLineChars="200" w:firstLine="640"/>
        <w:rPr>
          <w:rFonts w:ascii="黑体" w:eastAsia="黑体" w:hAnsi="黑体" w:cs="黑体"/>
          <w:b w:val="0"/>
          <w:bCs/>
          <w:sz w:val="32"/>
          <w:szCs w:val="32"/>
        </w:rPr>
      </w:pPr>
      <w:bookmarkStart w:id="20" w:name="_Toc15933"/>
      <w:r>
        <w:rPr>
          <w:rFonts w:ascii="黑体" w:eastAsia="黑体" w:hAnsi="黑体" w:cs="黑体" w:hint="eastAsia"/>
          <w:b w:val="0"/>
          <w:bCs/>
          <w:sz w:val="32"/>
          <w:szCs w:val="32"/>
        </w:rPr>
        <w:t>五、总体评价结论</w:t>
      </w:r>
      <w:bookmarkEnd w:id="20"/>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21" w:name="_Toc14263"/>
      <w:r>
        <w:rPr>
          <w:rFonts w:ascii="楷体_GB2312" w:eastAsia="楷体_GB2312" w:hAnsi="楷体_GB2312" w:cs="楷体_GB2312" w:hint="eastAsia"/>
          <w:b w:val="0"/>
          <w:bCs/>
        </w:rPr>
        <w:t>（一）评价得分情况</w:t>
      </w:r>
      <w:bookmarkEnd w:id="21"/>
    </w:p>
    <w:p w:rsidR="00F346E2" w:rsidRDefault="00BE79F1">
      <w:pPr>
        <w:pStyle w:val="a3"/>
        <w:ind w:firstLine="643"/>
        <w:rPr>
          <w:rFonts w:ascii="仿宋_GB2312" w:eastAsia="仿宋_GB2312"/>
          <w:b/>
          <w:bCs/>
          <w:sz w:val="32"/>
          <w:szCs w:val="32"/>
        </w:rPr>
      </w:pPr>
      <w:r>
        <w:rPr>
          <w:rFonts w:ascii="仿宋_GB2312" w:eastAsia="仿宋_GB2312" w:hint="eastAsia"/>
          <w:b/>
          <w:bCs/>
          <w:sz w:val="32"/>
          <w:szCs w:val="32"/>
        </w:rPr>
        <w:t>1.预算执行情况（20分）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2023年部门高度重视预算编制工作，各业务科室相互配合，按照年初目标完成，项目执行率98.84%。根据评分规则，此项综合评价得分为20分。</w:t>
      </w:r>
    </w:p>
    <w:p w:rsidR="00F346E2" w:rsidRDefault="00BE79F1">
      <w:pPr>
        <w:pStyle w:val="a3"/>
        <w:ind w:firstLine="643"/>
        <w:rPr>
          <w:rFonts w:ascii="仿宋_GB2312" w:eastAsia="仿宋_GB2312"/>
          <w:b/>
          <w:bCs/>
          <w:sz w:val="32"/>
          <w:szCs w:val="32"/>
        </w:rPr>
      </w:pPr>
      <w:r>
        <w:rPr>
          <w:rFonts w:ascii="仿宋_GB2312" w:eastAsia="仿宋_GB2312" w:hint="eastAsia"/>
          <w:b/>
          <w:bCs/>
          <w:sz w:val="32"/>
          <w:szCs w:val="32"/>
        </w:rPr>
        <w:t>2.整体绩效目标实现情况（60分）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（1）产出完成情况（30分）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产出数量（6分）：此项综合评价得分为6分。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产出质量（12分）：此项综合评价得分为12分。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产出进度（6分）：此项综合评价得分为6分。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产出成本（6分）：此项综合评价得分为6分。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（2）效果实现情况（30分）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经济效益（5分）：此项综合评价得分为4分；扣1分。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社会效益（12分）：此项综合评价得分为12分。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可持续影响（8分）：此项综合评价得分为6分；扣2分。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lastRenderedPageBreak/>
        <w:t>服务对象满意度（5分）：此项综合评价得分为4分；扣1分。</w:t>
      </w:r>
    </w:p>
    <w:p w:rsidR="00F346E2" w:rsidRDefault="00BE79F1">
      <w:pPr>
        <w:pStyle w:val="a3"/>
        <w:ind w:firstLine="643"/>
        <w:rPr>
          <w:rFonts w:ascii="仿宋_GB2312" w:eastAsia="仿宋_GB2312"/>
          <w:b/>
          <w:bCs/>
          <w:sz w:val="32"/>
          <w:szCs w:val="32"/>
        </w:rPr>
      </w:pPr>
      <w:r>
        <w:rPr>
          <w:rFonts w:ascii="仿宋_GB2312" w:eastAsia="仿宋_GB2312" w:hint="eastAsia"/>
          <w:b/>
          <w:bCs/>
          <w:sz w:val="32"/>
          <w:szCs w:val="32"/>
        </w:rPr>
        <w:t>3.预算管理情况（20分）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财务管理（4</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：此项综合评价得分为4分。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（2）资产管理（4分）：此项综合评价得分为4分。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绩效管理（4</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：此项综合评价得分为4分。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结转结余率（4</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：此项综合评价得分为4分。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部门预决算差异率（4</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：此项综合评价得分为4分。</w:t>
      </w:r>
    </w:p>
    <w:p w:rsidR="00F346E2" w:rsidRDefault="00BE79F1">
      <w:pPr>
        <w:pStyle w:val="a3"/>
        <w:ind w:firstLine="640"/>
        <w:rPr>
          <w:rFonts w:ascii="仿宋_GB2312" w:eastAsia="仿宋_GB2312"/>
          <w:sz w:val="32"/>
          <w:szCs w:val="32"/>
        </w:rPr>
      </w:pPr>
      <w:r>
        <w:rPr>
          <w:rFonts w:ascii="仿宋_GB2312" w:eastAsia="仿宋_GB2312" w:hint="eastAsia"/>
          <w:sz w:val="32"/>
          <w:szCs w:val="32"/>
        </w:rPr>
        <w:t>综上，部门整体绩效支出评价总得分为96分。档次为优。（具体得分明细详见附件一《2023年部门整体绩效评价指标体系评分表》）</w:t>
      </w:r>
    </w:p>
    <w:p w:rsidR="00F346E2" w:rsidRDefault="00BE79F1">
      <w:pPr>
        <w:pStyle w:val="a4"/>
        <w:jc w:val="center"/>
        <w:rPr>
          <w:rFonts w:ascii="微软雅黑" w:eastAsia="微软雅黑" w:hAnsi="微软雅黑" w:cs="微软雅黑"/>
          <w:sz w:val="24"/>
        </w:rPr>
      </w:pPr>
      <w:r>
        <w:rPr>
          <w:rFonts w:ascii="微软雅黑" w:eastAsia="微软雅黑" w:hAnsi="微软雅黑" w:cs="微软雅黑" w:hint="eastAsia"/>
          <w:sz w:val="24"/>
        </w:rPr>
        <w:t xml:space="preserve">表 </w:t>
      </w:r>
      <w:r>
        <w:rPr>
          <w:rFonts w:ascii="微软雅黑" w:eastAsia="微软雅黑" w:hAnsi="微软雅黑" w:cs="微软雅黑" w:hint="eastAsia"/>
          <w:sz w:val="24"/>
        </w:rPr>
        <w:fldChar w:fldCharType="begin"/>
      </w:r>
      <w:r>
        <w:rPr>
          <w:rFonts w:ascii="微软雅黑" w:eastAsia="微软雅黑" w:hAnsi="微软雅黑" w:cs="微软雅黑" w:hint="eastAsia"/>
          <w:sz w:val="24"/>
        </w:rPr>
        <w:instrText xml:space="preserve"> SEQ 表 \* ARABIC </w:instrText>
      </w:r>
      <w:r>
        <w:rPr>
          <w:rFonts w:ascii="微软雅黑" w:eastAsia="微软雅黑" w:hAnsi="微软雅黑" w:cs="微软雅黑" w:hint="eastAsia"/>
          <w:sz w:val="24"/>
        </w:rPr>
        <w:fldChar w:fldCharType="separate"/>
      </w:r>
      <w:r>
        <w:rPr>
          <w:rFonts w:ascii="微软雅黑" w:eastAsia="微软雅黑" w:hAnsi="微软雅黑" w:cs="微软雅黑" w:hint="eastAsia"/>
          <w:sz w:val="24"/>
        </w:rPr>
        <w:t>3</w:t>
      </w:r>
      <w:r>
        <w:rPr>
          <w:rFonts w:ascii="微软雅黑" w:eastAsia="微软雅黑" w:hAnsi="微软雅黑" w:cs="微软雅黑" w:hint="eastAsia"/>
          <w:sz w:val="24"/>
        </w:rPr>
        <w:fldChar w:fldCharType="end"/>
      </w:r>
      <w:r>
        <w:rPr>
          <w:rFonts w:ascii="微软雅黑" w:eastAsia="微软雅黑" w:hAnsi="微软雅黑" w:cs="微软雅黑" w:hint="eastAsia"/>
          <w:sz w:val="24"/>
        </w:rPr>
        <w:t xml:space="preserve"> 部门整体支出绩效评价情况得分表</w:t>
      </w:r>
    </w:p>
    <w:tbl>
      <w:tblPr>
        <w:tblW w:w="8101" w:type="dxa"/>
        <w:jc w:val="center"/>
        <w:tblLayout w:type="fixed"/>
        <w:tblLook w:val="04A0" w:firstRow="1" w:lastRow="0" w:firstColumn="1" w:lastColumn="0" w:noHBand="0" w:noVBand="1"/>
      </w:tblPr>
      <w:tblGrid>
        <w:gridCol w:w="1545"/>
        <w:gridCol w:w="2228"/>
        <w:gridCol w:w="2172"/>
        <w:gridCol w:w="1078"/>
        <w:gridCol w:w="1078"/>
      </w:tblGrid>
      <w:tr w:rsidR="00F346E2">
        <w:trPr>
          <w:trHeight w:val="400"/>
          <w:jc w:val="center"/>
        </w:trPr>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评价指标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分值</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评分</w:t>
            </w:r>
          </w:p>
        </w:tc>
      </w:tr>
      <w:tr w:rsidR="00F346E2">
        <w:trPr>
          <w:trHeight w:val="270"/>
          <w:jc w:val="center"/>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预算执行情况</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20</w:t>
            </w:r>
          </w:p>
        </w:tc>
      </w:tr>
      <w:tr w:rsidR="00F346E2">
        <w:trPr>
          <w:trHeight w:val="270"/>
          <w:jc w:val="center"/>
        </w:trPr>
        <w:tc>
          <w:tcPr>
            <w:tcW w:w="15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整体绩效目标实现情况</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产出完成情况</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产出数量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6</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产出质量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12</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产出进度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6</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产出成本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6</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效果实现情况</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经济效益</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社会效益</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12</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可持续影响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6</w:t>
            </w:r>
          </w:p>
        </w:tc>
      </w:tr>
      <w:tr w:rsidR="00F346E2">
        <w:trPr>
          <w:trHeight w:val="30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服务对象满意度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r>
      <w:tr w:rsidR="00F346E2">
        <w:trPr>
          <w:trHeight w:val="270"/>
          <w:jc w:val="center"/>
        </w:trPr>
        <w:tc>
          <w:tcPr>
            <w:tcW w:w="15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预算管理情况</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财务管理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资产管理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绩效管理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结转结余率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r>
      <w:tr w:rsidR="00F346E2">
        <w:trPr>
          <w:trHeight w:val="270"/>
          <w:jc w:val="center"/>
        </w:trPr>
        <w:tc>
          <w:tcPr>
            <w:tcW w:w="15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F346E2">
            <w:pPr>
              <w:jc w:val="center"/>
              <w:rPr>
                <w:rFonts w:ascii="仿宋_GB2312" w:eastAsia="仿宋_GB2312" w:hAnsi="仿宋_GB2312" w:cs="仿宋_GB2312"/>
                <w:color w:val="000000"/>
                <w:sz w:val="28"/>
                <w:szCs w:val="28"/>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部门预决算差异率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w:t>
            </w:r>
          </w:p>
        </w:tc>
      </w:tr>
      <w:tr w:rsidR="00F346E2">
        <w:trPr>
          <w:trHeight w:val="270"/>
          <w:jc w:val="center"/>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综合得分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96</w:t>
            </w:r>
          </w:p>
        </w:tc>
      </w:tr>
      <w:tr w:rsidR="00F346E2">
        <w:trPr>
          <w:trHeight w:val="270"/>
          <w:jc w:val="center"/>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绩效评价级别</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E2" w:rsidRDefault="00BE79F1">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优</w:t>
            </w:r>
          </w:p>
        </w:tc>
      </w:tr>
    </w:tbl>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22" w:name="_Toc15884"/>
      <w:r>
        <w:rPr>
          <w:rFonts w:ascii="楷体_GB2312" w:eastAsia="楷体_GB2312" w:hAnsi="楷体_GB2312" w:cs="楷体_GB2312" w:hint="eastAsia"/>
          <w:b w:val="0"/>
          <w:bCs/>
        </w:rPr>
        <w:t>（二）部门整体支出所实现的主要绩效</w:t>
      </w:r>
      <w:bookmarkEnd w:id="22"/>
    </w:p>
    <w:p w:rsidR="00F346E2" w:rsidRDefault="00BE79F1">
      <w:pPr>
        <w:pStyle w:val="a3"/>
        <w:ind w:firstLine="640"/>
        <w:rPr>
          <w:rFonts w:ascii="仿宋_GB2312" w:eastAsia="仿宋_GB2312"/>
          <w:sz w:val="32"/>
          <w:szCs w:val="32"/>
        </w:rPr>
      </w:pPr>
      <w:r>
        <w:rPr>
          <w:rFonts w:ascii="仿宋_GB2312" w:eastAsia="仿宋_GB2312" w:hint="eastAsia"/>
          <w:sz w:val="32"/>
          <w:szCs w:val="32"/>
        </w:rPr>
        <w:t>绩效评价工作组在研读分析财政部和北京市财政局有关项目绩效政策文件基础上，基于财政相关规定和要求，绩效评价工作组与农工党北京市委进行充分的沟通和交流，了解部门整体预算及执行情况和绩效评价重点关注问题，并收集相关材料。在此基础上，形成绩效评价工作方案，确定了评价重点、绩效目标编制情况、政府采购执行情况、资金使用情况、项目管理情况、项目完成情况及项目效益的实现情况等。</w:t>
      </w:r>
    </w:p>
    <w:p w:rsidR="00F346E2" w:rsidRDefault="00BE79F1">
      <w:pPr>
        <w:ind w:firstLineChars="200" w:firstLine="640"/>
        <w:rPr>
          <w:rFonts w:ascii="仿宋_GB2312" w:eastAsia="仿宋_GB2312"/>
          <w:sz w:val="32"/>
          <w:szCs w:val="32"/>
        </w:rPr>
      </w:pPr>
      <w:r>
        <w:rPr>
          <w:rFonts w:ascii="仿宋_GB2312" w:eastAsia="仿宋_GB2312" w:hint="eastAsia"/>
          <w:sz w:val="32"/>
          <w:szCs w:val="32"/>
        </w:rPr>
        <w:t>2023年是全面贯彻落实中共二十大精神开局之年，也是三年新冠疫情防控转段后经济恢复发展的一年。农工党北京市委坚持以习近平新时代中国特色社会主义思想为指导，深入学习贯彻中共二十大和二十届二中全会精神，深入学习贯</w:t>
      </w:r>
      <w:r>
        <w:rPr>
          <w:rFonts w:ascii="仿宋_GB2312" w:eastAsia="仿宋_GB2312" w:hint="eastAsia"/>
          <w:sz w:val="32"/>
          <w:szCs w:val="32"/>
        </w:rPr>
        <w:lastRenderedPageBreak/>
        <w:t>彻习近平总书记对北京重要讲话精神，在农工党中央和中共北京市委的坚强领导下，在市委统战部的指导帮助下，在全市各级组织和全体党员的支持参与下，按照市委会五年工作规划的部署，扎实开展“凝心铸魂强根基、团结奋进新征程”主题教育，扎实推进凝聚人心、汇聚力量，履行职能、服务大局，推进自身建设、赓续优良传统的三大基本任务落实，助力首都经济高质量发展，关注民生福祉，深入推动健康北京和美丽北京建设，各项工作取得新进展新成效。通过对部门整体支出绩效进行综合分析，2023年度主要实现以下绩效：</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1.强化思想引领，深化思想政治建设。</w:t>
      </w:r>
      <w:r>
        <w:rPr>
          <w:rFonts w:ascii="仿宋_GB2312" w:eastAsia="仿宋_GB2312" w:hint="eastAsia"/>
          <w:sz w:val="32"/>
          <w:szCs w:val="32"/>
        </w:rPr>
        <w:t>围绕习近平总书记重要讲话和重要指示批示精神、全国两会精神等开展理论学习中心组学习（扩大）会议7次。主要领导在《人民日报》、“求是网”等发表学习文章10余篇。聚焦参政履职、党史学习等举办新语大讲堂4期。围绕中共中央发布“五一口号”75周年等重要时间节点，开展“重走‘进京赶考路’再悟多党合作史”参观学习，举办主题征文、座谈学习、文艺创作等系列专题活动。联合开展党员思想状况调研、青年党员思想现状研究，及时掌握党员思想动态。各区积极创新开展思想政治建设工作，不断提升思想政治工作的创新性、针对性、实效性。</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2.主题教育开展成效显著。</w:t>
      </w:r>
      <w:r>
        <w:rPr>
          <w:rFonts w:ascii="仿宋_GB2312" w:eastAsia="仿宋_GB2312" w:hint="eastAsia"/>
          <w:sz w:val="32"/>
          <w:szCs w:val="32"/>
        </w:rPr>
        <w:t>推动主题教育与理论学习、参政履职、解决实际问题、加强自身建设融合发展，推动形</w:t>
      </w:r>
      <w:r>
        <w:rPr>
          <w:rFonts w:ascii="仿宋_GB2312" w:eastAsia="仿宋_GB2312" w:hint="eastAsia"/>
          <w:sz w:val="32"/>
          <w:szCs w:val="32"/>
        </w:rPr>
        <w:lastRenderedPageBreak/>
        <w:t>成了首届美丽北京大家谈、第一届国际生物医药产业创新北京论坛、2023年中国国际服务贸易交易会城市数字经济发展论坛、编印《北京农工》主题教育理论学习成果特刊、筹备主题教育成果展演等一系列可视化、显现化主题教育实践成果，累计开展主题征文、参观学习、健康宣教、“环境与健康宣传周”等各类专题活动130场次以上、参与人数8000人次以上。</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3.对外宣传工作提质增效。</w:t>
      </w:r>
      <w:r>
        <w:rPr>
          <w:rFonts w:ascii="仿宋_GB2312" w:eastAsia="仿宋_GB2312" w:hint="eastAsia"/>
          <w:sz w:val="32"/>
          <w:szCs w:val="32"/>
        </w:rPr>
        <w:t>围绕参政党履职，做好主题主线宣传，推出非凡十年、健康京郊行、有医说医、冬奥回眸等一系列重大选题及重要宣传项目28个，协调北京电视台、《北京日报》《人民政协报》等重点新闻媒体，对首届美丽北京大家谈、委员履职“服务为民”等重大活动和中心工作深入报道17次。完成《北京农工》杂志全面改版，不断深化“一网一微一刊”差异化发展。2023年全年共推出微信公众号文章652篇、网站信息526篇，“非凡十年”系列阅读人数创新高。</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4.参政议政履职能力显著提升。</w:t>
      </w:r>
      <w:r>
        <w:rPr>
          <w:rFonts w:ascii="仿宋_GB2312" w:eastAsia="仿宋_GB2312" w:hint="eastAsia"/>
          <w:sz w:val="32"/>
          <w:szCs w:val="32"/>
        </w:rPr>
        <w:t>通过项目实施，加强课题调研，带动提案水平提高。向市政协提交7件党派提案、3件界别提案和5件大会发言，另有3件素材转化为农工党中央集体提案提交全国政协。在刚闭幕的政协会上，2件党派提案、1件界别提案和3件委员提案获优秀提案表彰。</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5.切实提高调研能力。</w:t>
      </w:r>
      <w:r>
        <w:rPr>
          <w:rFonts w:ascii="仿宋_GB2312" w:eastAsia="仿宋_GB2312" w:hint="eastAsia"/>
          <w:sz w:val="32"/>
          <w:szCs w:val="32"/>
        </w:rPr>
        <w:t>广泛动员组织专委会、基层组织</w:t>
      </w:r>
      <w:r>
        <w:rPr>
          <w:rFonts w:ascii="仿宋_GB2312" w:eastAsia="仿宋_GB2312" w:hint="eastAsia"/>
          <w:sz w:val="32"/>
          <w:szCs w:val="32"/>
        </w:rPr>
        <w:lastRenderedPageBreak/>
        <w:t>和党员专家申报课题，收到课题立项书170余件，经济、科技及社会民生领域比例有所增长，课题事权领域更加均衡。高标准服务保障农工党中央、北京市委领导率队在京开展调研7次。全年共组织开展各类形式调研百余次，1000余人次参与，形成调研报告91篇，环人资、社法、经济二等9个专委会，生态环境总支、中科院委员会等7个基层组织的调研成果被采用。</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6.扎实开展内部监督。</w:t>
      </w:r>
      <w:r>
        <w:rPr>
          <w:rFonts w:ascii="仿宋_GB2312" w:eastAsia="仿宋_GB2312" w:hint="eastAsia"/>
          <w:sz w:val="32"/>
          <w:szCs w:val="32"/>
        </w:rPr>
        <w:t>以领导班子和市委委员为监督重点，聚焦重点对象认真贯彻中共中央战略决策部署、强化理论武装、开展主题教育等思想政治建设成效；制作《市委会内部监督委2023年重要工作计划表》，确保履职监督工作精准有效；此外，落实党内资金收缴使用专项检查，压实内部监督委员会职责，实现地方组织内部监督机构全覆盖，在各级各类培训中增加警示教育有关内容，全年累计培训近800人次。</w:t>
      </w:r>
    </w:p>
    <w:p w:rsidR="00F346E2" w:rsidRDefault="00BE79F1">
      <w:pPr>
        <w:pStyle w:val="1"/>
        <w:keepNext w:val="0"/>
        <w:keepLines w:val="0"/>
        <w:spacing w:before="0" w:after="0" w:line="600" w:lineRule="exact"/>
        <w:ind w:firstLineChars="200" w:firstLine="640"/>
        <w:rPr>
          <w:rFonts w:ascii="黑体" w:eastAsia="黑体" w:hAnsi="黑体" w:cs="黑体"/>
          <w:b w:val="0"/>
          <w:bCs/>
          <w:sz w:val="32"/>
          <w:szCs w:val="32"/>
        </w:rPr>
      </w:pPr>
      <w:bookmarkStart w:id="23" w:name="_Toc1845"/>
      <w:r>
        <w:rPr>
          <w:rFonts w:ascii="黑体" w:eastAsia="黑体" w:hAnsi="黑体" w:cs="黑体" w:hint="eastAsia"/>
          <w:b w:val="0"/>
          <w:bCs/>
          <w:sz w:val="32"/>
          <w:szCs w:val="32"/>
        </w:rPr>
        <w:t>六、存在的问题及相关建议</w:t>
      </w:r>
      <w:bookmarkEnd w:id="23"/>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24" w:name="_Toc14831"/>
      <w:r>
        <w:rPr>
          <w:rFonts w:ascii="楷体_GB2312" w:eastAsia="楷体_GB2312" w:hAnsi="楷体_GB2312" w:cs="楷体_GB2312" w:hint="eastAsia"/>
          <w:b w:val="0"/>
          <w:bCs/>
        </w:rPr>
        <w:t>（一）存在的主要问题</w:t>
      </w:r>
      <w:bookmarkEnd w:id="24"/>
    </w:p>
    <w:p w:rsidR="00F346E2" w:rsidRDefault="00BE79F1">
      <w:pPr>
        <w:pStyle w:val="a3"/>
        <w:ind w:firstLine="643"/>
        <w:rPr>
          <w:rFonts w:ascii="仿宋_GB2312" w:eastAsia="仿宋_GB2312"/>
          <w:b/>
          <w:bCs/>
          <w:sz w:val="32"/>
          <w:szCs w:val="32"/>
        </w:rPr>
      </w:pPr>
      <w:r>
        <w:rPr>
          <w:rFonts w:ascii="仿宋_GB2312" w:eastAsia="仿宋_GB2312" w:hint="eastAsia"/>
          <w:b/>
          <w:bCs/>
          <w:sz w:val="32"/>
          <w:szCs w:val="32"/>
        </w:rPr>
        <w:t>1.项目绩效评价指标体系有待进一步优化。</w:t>
      </w:r>
      <w:r>
        <w:rPr>
          <w:rFonts w:ascii="仿宋_GB2312" w:eastAsia="仿宋_GB2312" w:hint="eastAsia"/>
          <w:sz w:val="32"/>
          <w:szCs w:val="32"/>
        </w:rPr>
        <w:t>项目绩效评价涉及社会服务、后备骨干培训班、宣传思想、重点调研课题等多个领域，各项目之间任务、功能、特点、周期均存在一定差异，其评价指标体系也需要对应进行合理化设置和调整，确保评价指标体系科学、合理、可落地。</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lastRenderedPageBreak/>
        <w:t>2.服务对象满意度资料有待进一步完善。</w:t>
      </w:r>
      <w:r>
        <w:rPr>
          <w:rFonts w:ascii="仿宋_GB2312" w:eastAsia="仿宋_GB2312" w:hint="eastAsia"/>
          <w:sz w:val="32"/>
          <w:szCs w:val="32"/>
        </w:rPr>
        <w:t>服务对象满意度评价是衡量各个项目绩效目标达成情况的一个关键指标，应予以重视，</w:t>
      </w:r>
      <w:r w:rsidR="00F10AAD" w:rsidRPr="00F10AAD">
        <w:rPr>
          <w:rFonts w:ascii="仿宋_GB2312" w:eastAsia="仿宋_GB2312" w:hint="eastAsia"/>
          <w:sz w:val="32"/>
          <w:szCs w:val="32"/>
        </w:rPr>
        <w:t>设置</w:t>
      </w:r>
      <w:r>
        <w:rPr>
          <w:rFonts w:ascii="仿宋_GB2312" w:eastAsia="仿宋_GB2312" w:hint="eastAsia"/>
          <w:sz w:val="32"/>
          <w:szCs w:val="32"/>
        </w:rPr>
        <w:t>科学</w:t>
      </w:r>
      <w:bookmarkStart w:id="25" w:name="_GoBack"/>
      <w:bookmarkEnd w:id="25"/>
      <w:r>
        <w:rPr>
          <w:rFonts w:ascii="仿宋_GB2312" w:eastAsia="仿宋_GB2312" w:hint="eastAsia"/>
          <w:sz w:val="32"/>
          <w:szCs w:val="32"/>
        </w:rPr>
        <w:t>、合理的满意度评价指标体系，量化服务对象对项目运作过程中不同阶段、版块的评价，为后续持续提升项目质量提供数据支撑和改进方向。</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3.项目绩效评价管理有待进一步加强。</w:t>
      </w:r>
      <w:r>
        <w:rPr>
          <w:rFonts w:ascii="仿宋_GB2312" w:eastAsia="仿宋_GB2312" w:hint="eastAsia"/>
          <w:sz w:val="32"/>
          <w:szCs w:val="32"/>
        </w:rPr>
        <w:t>项目绩效评价管理包括计划管理、过程管理、考核管理几大关键管理阶段。目前各项目绩效评价管理仍有待规范，加强前期绩效计划目标的制定与评估，严格规范要求落实绩效目标管理，并加强项目绩效考核结果运用，提高项目绩效评价工作质效。</w:t>
      </w:r>
    </w:p>
    <w:p w:rsidR="00F346E2" w:rsidRDefault="00BE79F1">
      <w:pPr>
        <w:pStyle w:val="2"/>
        <w:keepNext w:val="0"/>
        <w:keepLines w:val="0"/>
        <w:spacing w:before="0" w:after="0" w:line="600" w:lineRule="exact"/>
        <w:ind w:firstLineChars="200" w:firstLine="640"/>
        <w:rPr>
          <w:rFonts w:ascii="楷体_GB2312" w:eastAsia="楷体_GB2312" w:hAnsi="楷体_GB2312" w:cs="楷体_GB2312"/>
          <w:b w:val="0"/>
          <w:bCs/>
        </w:rPr>
      </w:pPr>
      <w:bookmarkStart w:id="26" w:name="_Toc20242"/>
      <w:r>
        <w:rPr>
          <w:rFonts w:ascii="楷体_GB2312" w:eastAsia="楷体_GB2312" w:hAnsi="楷体_GB2312" w:cs="楷体_GB2312" w:hint="eastAsia"/>
          <w:b w:val="0"/>
          <w:bCs/>
        </w:rPr>
        <w:t>（二）相关建议</w:t>
      </w:r>
      <w:bookmarkEnd w:id="26"/>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1.进一步优化项目绩效评价指标体系。</w:t>
      </w:r>
      <w:r>
        <w:rPr>
          <w:rFonts w:ascii="仿宋_GB2312" w:eastAsia="仿宋_GB2312" w:hint="eastAsia"/>
          <w:sz w:val="32"/>
          <w:szCs w:val="32"/>
        </w:rPr>
        <w:t>一是根据项目类别和项目预算资金使用实际情况进行科学评估，明确不同类别项目绩效考核的重点方向。二是结合各项目过往运作经验，合理制定绩效评价考核目标，确保绩效目标的科学性、合理性、可落地性和可持续性。三是加强项目绩效评价指标体系培训，明确各项目负责人、责任部门的工作职责，确保项目绩效评价工作有序开展。</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2.持续完善服务对象满意度评价工作。</w:t>
      </w:r>
      <w:r>
        <w:rPr>
          <w:rFonts w:ascii="仿宋_GB2312" w:eastAsia="仿宋_GB2312" w:hint="eastAsia"/>
          <w:sz w:val="32"/>
          <w:szCs w:val="32"/>
        </w:rPr>
        <w:t>一是建立健全各项目服务对象满意度评价指标体系，搭建适用于各项目的服务对象满意度评价指标体系框架，并根据不同项目实际情况设计细项指标，确保评价指标可量化、有针对性。二是做好</w:t>
      </w:r>
      <w:r>
        <w:rPr>
          <w:rFonts w:ascii="仿宋_GB2312" w:eastAsia="仿宋_GB2312" w:hint="eastAsia"/>
          <w:sz w:val="32"/>
          <w:szCs w:val="32"/>
        </w:rPr>
        <w:lastRenderedPageBreak/>
        <w:t>满意度评价工作过程管理，各项目开展过程中，应提前规划满意度评价工作开展时间、频次、对象、内容等，并按照计划有序推进，同时做好满意度数据回收留痕管理，提高评价数据采集的规范化程度。</w:t>
      </w:r>
    </w:p>
    <w:p w:rsidR="00F346E2" w:rsidRDefault="00BE79F1">
      <w:pPr>
        <w:pStyle w:val="a3"/>
        <w:ind w:firstLine="643"/>
        <w:rPr>
          <w:rFonts w:ascii="仿宋_GB2312" w:eastAsia="仿宋_GB2312"/>
          <w:sz w:val="32"/>
          <w:szCs w:val="32"/>
        </w:rPr>
      </w:pPr>
      <w:r>
        <w:rPr>
          <w:rFonts w:ascii="仿宋_GB2312" w:eastAsia="仿宋_GB2312" w:hint="eastAsia"/>
          <w:b/>
          <w:bCs/>
          <w:sz w:val="32"/>
          <w:szCs w:val="32"/>
        </w:rPr>
        <w:t>3.深化项目绩效评价管理工作。</w:t>
      </w:r>
      <w:r>
        <w:rPr>
          <w:rFonts w:ascii="仿宋_GB2312" w:eastAsia="仿宋_GB2312" w:hint="eastAsia"/>
          <w:sz w:val="32"/>
          <w:szCs w:val="32"/>
        </w:rPr>
        <w:t>一是加强项目绩效目标针对性管理，应秉承严谨、科学、合理的原则对不同类型项目设置合理的项目绩效目标，确保绩效目标有利于推进、优化项目工作。二是严格落实项目绩效评价过程管理，明确项目运作过程中应予以归档、整理、留存的资料，相关部门、负责人按照要求进行过程管理，便于后续项目绩效考核工作的开展。三是强化项目绩效考核结果运用，以考促改、以考促优，推动形成项目间比学赶超氛围，持续提升各项目运作质效和项目资金使用的科学与规范化程度。</w:t>
      </w:r>
    </w:p>
    <w:p w:rsidR="00F346E2" w:rsidRDefault="00F346E2">
      <w:pPr>
        <w:pStyle w:val="a3"/>
        <w:rPr>
          <w:rFonts w:ascii="楷体_GB2312" w:eastAsia="楷体_GB2312" w:hAnsi="楷体_GB2312" w:cs="楷体_GB2312"/>
          <w:bCs/>
        </w:rPr>
      </w:pPr>
    </w:p>
    <w:p w:rsidR="00F346E2" w:rsidRDefault="00F346E2">
      <w:pPr>
        <w:pStyle w:val="a3"/>
        <w:rPr>
          <w:rFonts w:ascii="楷体_GB2312" w:eastAsia="楷体_GB2312" w:hAnsi="楷体_GB2312" w:cs="楷体_GB2312"/>
          <w:bCs/>
        </w:rPr>
        <w:sectPr w:rsidR="00F346E2">
          <w:footerReference w:type="default" r:id="rId9"/>
          <w:pgSz w:w="11906" w:h="16838"/>
          <w:pgMar w:top="1440" w:right="1800" w:bottom="1440" w:left="1800" w:header="851" w:footer="992" w:gutter="0"/>
          <w:pgNumType w:start="1"/>
          <w:cols w:space="425"/>
          <w:docGrid w:type="lines" w:linePitch="312"/>
        </w:sectPr>
      </w:pPr>
    </w:p>
    <w:p w:rsidR="00F346E2" w:rsidRDefault="00F346E2"/>
    <w:p w:rsidR="00F346E2" w:rsidRDefault="00BE79F1">
      <w:pPr>
        <w:pStyle w:val="1"/>
        <w:keepNext w:val="0"/>
        <w:keepLines w:val="0"/>
        <w:spacing w:before="0" w:after="0" w:line="600" w:lineRule="exact"/>
        <w:ind w:firstLineChars="200" w:firstLine="640"/>
        <w:rPr>
          <w:rFonts w:ascii="黑体" w:eastAsia="黑体" w:hAnsi="黑体" w:cs="黑体"/>
          <w:b w:val="0"/>
          <w:bCs/>
          <w:sz w:val="32"/>
          <w:szCs w:val="32"/>
        </w:rPr>
      </w:pPr>
      <w:bookmarkStart w:id="27" w:name="_Toc24710"/>
      <w:bookmarkStart w:id="28" w:name="_Toc16359"/>
      <w:r>
        <w:rPr>
          <w:rFonts w:ascii="黑体" w:eastAsia="黑体" w:hAnsi="黑体" w:cs="黑体" w:hint="eastAsia"/>
          <w:b w:val="0"/>
          <w:bCs/>
          <w:sz w:val="32"/>
          <w:szCs w:val="32"/>
        </w:rPr>
        <w:t>附件1：2023年部门整体绩效评价指标体系评分表</w:t>
      </w:r>
      <w:bookmarkEnd w:id="27"/>
      <w:bookmarkEnd w:id="28"/>
    </w:p>
    <w:tbl>
      <w:tblPr>
        <w:tblW w:w="15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62"/>
        <w:gridCol w:w="1325"/>
        <w:gridCol w:w="1454"/>
        <w:gridCol w:w="1330"/>
        <w:gridCol w:w="557"/>
        <w:gridCol w:w="487"/>
        <w:gridCol w:w="3192"/>
        <w:gridCol w:w="5042"/>
      </w:tblGrid>
      <w:tr w:rsidR="00F346E2">
        <w:trPr>
          <w:trHeight w:val="655"/>
          <w:jc w:val="center"/>
        </w:trPr>
        <w:tc>
          <w:tcPr>
            <w:tcW w:w="15074" w:type="dxa"/>
            <w:gridSpan w:val="9"/>
            <w:tcBorders>
              <w:tl2br w:val="nil"/>
              <w:tr2bl w:val="nil"/>
            </w:tcBorders>
            <w:noWrap/>
            <w:vAlign w:val="bottom"/>
          </w:tcPr>
          <w:p w:rsidR="00F346E2" w:rsidRDefault="00BE79F1">
            <w:pPr>
              <w:widowControl/>
              <w:jc w:val="center"/>
              <w:rPr>
                <w:rFonts w:ascii="仿宋" w:eastAsia="仿宋" w:hAnsi="仿宋" w:cs="仿宋"/>
                <w:kern w:val="0"/>
                <w:sz w:val="44"/>
                <w:szCs w:val="44"/>
              </w:rPr>
            </w:pPr>
            <w:r>
              <w:rPr>
                <w:rFonts w:ascii="仿宋" w:eastAsia="仿宋" w:hAnsi="仿宋" w:cs="仿宋" w:hint="eastAsia"/>
                <w:kern w:val="0"/>
                <w:sz w:val="44"/>
                <w:szCs w:val="44"/>
              </w:rPr>
              <w:t>2023年部门整体绩效评价指标体系评分表</w:t>
            </w:r>
          </w:p>
        </w:tc>
      </w:tr>
      <w:tr w:rsidR="00F346E2">
        <w:trPr>
          <w:trHeight w:val="23"/>
          <w:jc w:val="center"/>
        </w:trPr>
        <w:tc>
          <w:tcPr>
            <w:tcW w:w="15074" w:type="dxa"/>
            <w:gridSpan w:val="9"/>
            <w:tcBorders>
              <w:tl2br w:val="nil"/>
              <w:tr2bl w:val="nil"/>
            </w:tcBorders>
            <w:vAlign w:val="center"/>
          </w:tcPr>
          <w:p w:rsidR="00F346E2" w:rsidRDefault="00BE79F1">
            <w:pPr>
              <w:widowControl/>
              <w:spacing w:line="340" w:lineRule="exact"/>
              <w:jc w:val="left"/>
              <w:rPr>
                <w:rFonts w:ascii="仿宋" w:eastAsia="仿宋" w:hAnsi="仿宋" w:cs="仿宋"/>
                <w:b/>
                <w:bCs/>
                <w:kern w:val="0"/>
                <w:sz w:val="18"/>
                <w:szCs w:val="18"/>
              </w:rPr>
            </w:pPr>
            <w:r>
              <w:rPr>
                <w:rFonts w:ascii="仿宋" w:eastAsia="仿宋" w:hAnsi="仿宋" w:cs="仿宋" w:hint="eastAsia"/>
                <w:b/>
                <w:bCs/>
                <w:kern w:val="0"/>
                <w:sz w:val="18"/>
                <w:szCs w:val="18"/>
              </w:rPr>
              <w:t>一、</w:t>
            </w:r>
            <w:r>
              <w:rPr>
                <w:rFonts w:ascii="仿宋" w:eastAsia="仿宋" w:hAnsi="仿宋" w:cs="仿宋" w:hint="eastAsia"/>
                <w:b/>
                <w:bCs/>
                <w:kern w:val="0"/>
                <w:sz w:val="20"/>
                <w:szCs w:val="20"/>
              </w:rPr>
              <w:t>当年预算执行情况（20分）</w:t>
            </w:r>
          </w:p>
        </w:tc>
      </w:tr>
      <w:tr w:rsidR="00F346E2">
        <w:trPr>
          <w:trHeight w:val="23"/>
          <w:jc w:val="center"/>
        </w:trPr>
        <w:tc>
          <w:tcPr>
            <w:tcW w:w="8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一级</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指标</w:t>
            </w: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二级</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指标</w:t>
            </w: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预算数</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执行数</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预算</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执行率</w:t>
            </w:r>
          </w:p>
        </w:tc>
        <w:tc>
          <w:tcPr>
            <w:tcW w:w="55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分值</w:t>
            </w:r>
          </w:p>
        </w:tc>
        <w:tc>
          <w:tcPr>
            <w:tcW w:w="48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得分</w:t>
            </w:r>
          </w:p>
        </w:tc>
        <w:tc>
          <w:tcPr>
            <w:tcW w:w="319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指标解释</w:t>
            </w:r>
          </w:p>
        </w:tc>
        <w:tc>
          <w:tcPr>
            <w:tcW w:w="504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评分标准</w:t>
            </w:r>
          </w:p>
        </w:tc>
      </w:tr>
      <w:tr w:rsidR="00F346E2">
        <w:trPr>
          <w:trHeight w:val="23"/>
          <w:jc w:val="center"/>
        </w:trPr>
        <w:tc>
          <w:tcPr>
            <w:tcW w:w="825"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当年预算执行情况（20）</w:t>
            </w: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资金</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总体</w:t>
            </w:r>
          </w:p>
        </w:tc>
        <w:tc>
          <w:tcPr>
            <w:tcW w:w="1325" w:type="dxa"/>
            <w:tcBorders>
              <w:tl2br w:val="nil"/>
              <w:tr2bl w:val="nil"/>
            </w:tcBorders>
            <w:tcMar>
              <w:top w:w="0" w:type="dxa"/>
              <w:left w:w="11" w:type="dxa"/>
              <w:bottom w:w="0" w:type="dxa"/>
              <w:right w:w="11" w:type="dxa"/>
            </w:tcMar>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1563.64</w:t>
            </w:r>
          </w:p>
        </w:tc>
        <w:tc>
          <w:tcPr>
            <w:tcW w:w="1454" w:type="dxa"/>
            <w:tcBorders>
              <w:tl2br w:val="nil"/>
              <w:tr2bl w:val="nil"/>
            </w:tcBorders>
            <w:tcMar>
              <w:top w:w="0" w:type="dxa"/>
              <w:left w:w="11" w:type="dxa"/>
              <w:bottom w:w="0" w:type="dxa"/>
              <w:right w:w="11" w:type="dxa"/>
            </w:tcMar>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1545.53</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color w:val="FF0000"/>
                <w:kern w:val="0"/>
                <w:sz w:val="20"/>
                <w:szCs w:val="20"/>
              </w:rPr>
            </w:pPr>
            <w:r>
              <w:rPr>
                <w:rFonts w:ascii="仿宋" w:eastAsia="仿宋" w:hAnsi="仿宋" w:cs="仿宋" w:hint="eastAsia"/>
                <w:kern w:val="0"/>
                <w:sz w:val="20"/>
                <w:szCs w:val="20"/>
              </w:rPr>
              <w:t>98.84%</w:t>
            </w:r>
          </w:p>
        </w:tc>
        <w:tc>
          <w:tcPr>
            <w:tcW w:w="557" w:type="dxa"/>
            <w:vMerge w:val="restart"/>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20</w:t>
            </w:r>
          </w:p>
        </w:tc>
        <w:tc>
          <w:tcPr>
            <w:tcW w:w="487" w:type="dxa"/>
            <w:vMerge w:val="restart"/>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20</w:t>
            </w:r>
          </w:p>
        </w:tc>
        <w:tc>
          <w:tcPr>
            <w:tcW w:w="3192" w:type="dxa"/>
            <w:vMerge w:val="restart"/>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部门全年执行数与全年预算数的比率。资金总体=基本支出+项目支出+其他</w:t>
            </w:r>
          </w:p>
        </w:tc>
        <w:tc>
          <w:tcPr>
            <w:tcW w:w="5042" w:type="dxa"/>
            <w:vMerge w:val="restart"/>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①得分一档最高不能超过该指标分值上限（20分）。</w:t>
            </w:r>
            <w:r>
              <w:rPr>
                <w:rFonts w:ascii="仿宋" w:eastAsia="仿宋" w:hAnsi="仿宋" w:cs="仿宋" w:hint="eastAsia"/>
                <w:kern w:val="0"/>
                <w:sz w:val="18"/>
                <w:szCs w:val="18"/>
              </w:rPr>
              <w:b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基本</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支出</w:t>
            </w:r>
          </w:p>
        </w:tc>
        <w:tc>
          <w:tcPr>
            <w:tcW w:w="1325" w:type="dxa"/>
            <w:tcBorders>
              <w:tl2br w:val="nil"/>
              <w:tr2bl w:val="nil"/>
            </w:tcBorders>
            <w:tcMar>
              <w:top w:w="0" w:type="dxa"/>
              <w:left w:w="11" w:type="dxa"/>
              <w:bottom w:w="0" w:type="dxa"/>
              <w:right w:w="11" w:type="dxa"/>
            </w:tcMar>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1364.70</w:t>
            </w:r>
          </w:p>
        </w:tc>
        <w:tc>
          <w:tcPr>
            <w:tcW w:w="1454" w:type="dxa"/>
            <w:tcBorders>
              <w:tl2br w:val="nil"/>
              <w:tr2bl w:val="nil"/>
            </w:tcBorders>
            <w:tcMar>
              <w:top w:w="0" w:type="dxa"/>
              <w:left w:w="11" w:type="dxa"/>
              <w:bottom w:w="0" w:type="dxa"/>
              <w:right w:w="11" w:type="dxa"/>
            </w:tcMar>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1326.10</w:t>
            </w:r>
          </w:p>
        </w:tc>
        <w:tc>
          <w:tcPr>
            <w:tcW w:w="1330"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项目</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支出</w:t>
            </w:r>
          </w:p>
        </w:tc>
        <w:tc>
          <w:tcPr>
            <w:tcW w:w="1325" w:type="dxa"/>
            <w:tcBorders>
              <w:tl2br w:val="nil"/>
              <w:tr2bl w:val="nil"/>
            </w:tcBorders>
            <w:tcMar>
              <w:top w:w="0" w:type="dxa"/>
              <w:left w:w="11" w:type="dxa"/>
              <w:bottom w:w="0" w:type="dxa"/>
              <w:right w:w="11" w:type="dxa"/>
            </w:tcMar>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175.43</w:t>
            </w:r>
          </w:p>
        </w:tc>
        <w:tc>
          <w:tcPr>
            <w:tcW w:w="1454" w:type="dxa"/>
            <w:tcBorders>
              <w:tl2br w:val="nil"/>
              <w:tr2bl w:val="nil"/>
            </w:tcBorders>
            <w:tcMar>
              <w:top w:w="0" w:type="dxa"/>
              <w:left w:w="11" w:type="dxa"/>
              <w:bottom w:w="0" w:type="dxa"/>
              <w:right w:w="11" w:type="dxa"/>
            </w:tcMar>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174.42</w:t>
            </w:r>
          </w:p>
        </w:tc>
        <w:tc>
          <w:tcPr>
            <w:tcW w:w="1330"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其他</w:t>
            </w: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w:t>
            </w:r>
          </w:p>
        </w:tc>
        <w:tc>
          <w:tcPr>
            <w:tcW w:w="1330"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15074" w:type="dxa"/>
            <w:gridSpan w:val="9"/>
            <w:tcBorders>
              <w:tl2br w:val="nil"/>
              <w:tr2bl w:val="nil"/>
            </w:tcBorders>
            <w:vAlign w:val="center"/>
          </w:tcPr>
          <w:p w:rsidR="00F346E2" w:rsidRDefault="00BE79F1">
            <w:pPr>
              <w:widowControl/>
              <w:spacing w:line="340" w:lineRule="exact"/>
              <w:jc w:val="left"/>
              <w:rPr>
                <w:rFonts w:ascii="仿宋" w:eastAsia="仿宋" w:hAnsi="仿宋" w:cs="仿宋"/>
                <w:b/>
                <w:bCs/>
                <w:kern w:val="0"/>
                <w:sz w:val="18"/>
                <w:szCs w:val="18"/>
              </w:rPr>
            </w:pPr>
            <w:r>
              <w:rPr>
                <w:rFonts w:ascii="仿宋" w:eastAsia="仿宋" w:hAnsi="仿宋" w:cs="仿宋" w:hint="eastAsia"/>
                <w:b/>
                <w:bCs/>
                <w:kern w:val="0"/>
                <w:sz w:val="18"/>
                <w:szCs w:val="18"/>
              </w:rPr>
              <w:t>二、</w:t>
            </w:r>
            <w:r>
              <w:rPr>
                <w:rFonts w:ascii="仿宋" w:eastAsia="仿宋" w:hAnsi="仿宋" w:cs="仿宋" w:hint="eastAsia"/>
                <w:b/>
                <w:bCs/>
                <w:kern w:val="0"/>
                <w:sz w:val="20"/>
                <w:szCs w:val="20"/>
              </w:rPr>
              <w:t>整体绩效目标实现情况（60分）</w:t>
            </w:r>
          </w:p>
        </w:tc>
      </w:tr>
      <w:tr w:rsidR="00F346E2">
        <w:trPr>
          <w:trHeight w:val="23"/>
          <w:jc w:val="center"/>
        </w:trPr>
        <w:tc>
          <w:tcPr>
            <w:tcW w:w="8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一级</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指标</w:t>
            </w: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二级</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指标</w:t>
            </w: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三级指标</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指标值</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完成值</w:t>
            </w:r>
          </w:p>
        </w:tc>
        <w:tc>
          <w:tcPr>
            <w:tcW w:w="55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分值</w:t>
            </w:r>
          </w:p>
        </w:tc>
        <w:tc>
          <w:tcPr>
            <w:tcW w:w="48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得分</w:t>
            </w:r>
          </w:p>
        </w:tc>
        <w:tc>
          <w:tcPr>
            <w:tcW w:w="3192" w:type="dxa"/>
            <w:tcBorders>
              <w:tl2br w:val="nil"/>
              <w:tr2bl w:val="nil"/>
            </w:tcBorders>
            <w:vAlign w:val="center"/>
          </w:tcPr>
          <w:p w:rsidR="00F346E2" w:rsidRDefault="00BE79F1">
            <w:pPr>
              <w:widowControl/>
              <w:spacing w:line="340" w:lineRule="exact"/>
              <w:jc w:val="center"/>
              <w:rPr>
                <w:rFonts w:ascii="仿宋" w:eastAsia="仿宋" w:hAnsi="仿宋" w:cs="仿宋"/>
                <w:bCs/>
                <w:kern w:val="0"/>
                <w:sz w:val="18"/>
                <w:szCs w:val="18"/>
              </w:rPr>
            </w:pPr>
            <w:r>
              <w:rPr>
                <w:rFonts w:ascii="仿宋" w:eastAsia="仿宋" w:hAnsi="仿宋" w:cs="仿宋" w:hint="eastAsia"/>
                <w:bCs/>
                <w:kern w:val="0"/>
                <w:sz w:val="18"/>
                <w:szCs w:val="18"/>
              </w:rPr>
              <w:t>指标解释</w:t>
            </w:r>
          </w:p>
        </w:tc>
        <w:tc>
          <w:tcPr>
            <w:tcW w:w="504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评分标准</w:t>
            </w:r>
          </w:p>
        </w:tc>
      </w:tr>
      <w:tr w:rsidR="00F346E2">
        <w:trPr>
          <w:trHeight w:val="23"/>
          <w:jc w:val="center"/>
        </w:trPr>
        <w:tc>
          <w:tcPr>
            <w:tcW w:w="825"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整体绩效目标</w:t>
            </w:r>
            <w:r>
              <w:rPr>
                <w:rFonts w:ascii="仿宋" w:eastAsia="仿宋" w:hAnsi="仿宋" w:cs="仿宋" w:hint="eastAsia"/>
                <w:kern w:val="0"/>
                <w:sz w:val="20"/>
                <w:szCs w:val="20"/>
              </w:rPr>
              <w:lastRenderedPageBreak/>
              <w:t>实现情况（60）</w:t>
            </w:r>
          </w:p>
        </w:tc>
        <w:tc>
          <w:tcPr>
            <w:tcW w:w="862" w:type="dxa"/>
            <w:vMerge w:val="restart"/>
            <w:tcBorders>
              <w:tl2br w:val="nil"/>
              <w:tr2bl w:val="nil"/>
            </w:tcBorders>
            <w:vAlign w:val="center"/>
          </w:tcPr>
          <w:p w:rsidR="00F346E2" w:rsidRDefault="00BE79F1">
            <w:pPr>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lastRenderedPageBreak/>
              <w:t>产出（30）</w:t>
            </w:r>
          </w:p>
        </w:tc>
        <w:tc>
          <w:tcPr>
            <w:tcW w:w="1325" w:type="dxa"/>
            <w:tcBorders>
              <w:tl2br w:val="nil"/>
              <w:tr2bl w:val="nil"/>
            </w:tcBorders>
            <w:vAlign w:val="center"/>
          </w:tcPr>
          <w:p w:rsidR="00F346E2" w:rsidRDefault="00BE79F1">
            <w:pPr>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产出数量</w:t>
            </w:r>
          </w:p>
          <w:p w:rsidR="00F346E2" w:rsidRDefault="00BE79F1">
            <w:pPr>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1454" w:type="dxa"/>
            <w:tcBorders>
              <w:tl2br w:val="nil"/>
              <w:tr2bl w:val="nil"/>
            </w:tcBorders>
            <w:vAlign w:val="center"/>
          </w:tcPr>
          <w:p w:rsidR="00F346E2" w:rsidRDefault="00BE79F1">
            <w:pPr>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项目完成率</w:t>
            </w:r>
          </w:p>
          <w:p w:rsidR="00F346E2" w:rsidRDefault="00BE79F1">
            <w:pPr>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1330" w:type="dxa"/>
            <w:tcBorders>
              <w:tl2br w:val="nil"/>
              <w:tr2bl w:val="nil"/>
            </w:tcBorders>
            <w:vAlign w:val="center"/>
          </w:tcPr>
          <w:p w:rsidR="00F346E2" w:rsidRDefault="00BE79F1">
            <w:pPr>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100%</w:t>
            </w:r>
          </w:p>
        </w:tc>
        <w:tc>
          <w:tcPr>
            <w:tcW w:w="557" w:type="dxa"/>
            <w:vMerge w:val="restart"/>
            <w:tcBorders>
              <w:tl2br w:val="nil"/>
              <w:tr2bl w:val="nil"/>
            </w:tcBorders>
            <w:vAlign w:val="center"/>
          </w:tcPr>
          <w:p w:rsidR="00F346E2" w:rsidRDefault="00BE79F1">
            <w:pPr>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30</w:t>
            </w:r>
          </w:p>
        </w:tc>
        <w:tc>
          <w:tcPr>
            <w:tcW w:w="487" w:type="dxa"/>
            <w:tcBorders>
              <w:tl2br w:val="nil"/>
              <w:tr2bl w:val="nil"/>
            </w:tcBorders>
            <w:vAlign w:val="center"/>
          </w:tcPr>
          <w:p w:rsidR="00F346E2" w:rsidRDefault="00BE79F1">
            <w:pPr>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3192" w:type="dxa"/>
            <w:vMerge w:val="restart"/>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产出数量</w:t>
            </w:r>
            <w:r>
              <w:rPr>
                <w:rFonts w:ascii="仿宋" w:eastAsia="仿宋" w:hAnsi="仿宋" w:cs="仿宋" w:hint="eastAsia"/>
                <w:kern w:val="0"/>
                <w:sz w:val="18"/>
                <w:szCs w:val="18"/>
              </w:rPr>
              <w:t>：计划完成率=（实际完成工作数/计划工作数）×100%。实际完成</w:t>
            </w:r>
            <w:r>
              <w:rPr>
                <w:rFonts w:ascii="仿宋" w:eastAsia="仿宋" w:hAnsi="仿宋" w:cs="仿宋" w:hint="eastAsia"/>
                <w:kern w:val="0"/>
                <w:sz w:val="18"/>
                <w:szCs w:val="18"/>
              </w:rPr>
              <w:lastRenderedPageBreak/>
              <w:t>工作数：一定时期（年度或规划期）内部门（单位）实际完成工作任务的数量。计划工作数：部门（单位）整体绩效目标确定的一定时期（年度或规划期）内预计完成工作任务的数量。</w:t>
            </w:r>
          </w:p>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产出质量</w:t>
            </w:r>
            <w:r>
              <w:rPr>
                <w:rFonts w:ascii="仿宋" w:eastAsia="仿宋" w:hAnsi="仿宋" w:cs="仿宋" w:hint="eastAsia"/>
                <w:kern w:val="0"/>
                <w:sz w:val="18"/>
                <w:szCs w:val="18"/>
              </w:rPr>
              <w:t>：质量达标率=质量达标工作数/实际完成工作数×100%。质量达标工作数：一定时期（年度或规划期）内部门（单位）实际完成工作数中达到部门绩效目标要求（绩效标准值）的工作任务数量。</w:t>
            </w:r>
          </w:p>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产出进度：</w:t>
            </w:r>
            <w:r>
              <w:rPr>
                <w:rFonts w:ascii="仿宋" w:eastAsia="仿宋" w:hAnsi="仿宋" w:cs="仿宋" w:hint="eastAsia"/>
                <w:kern w:val="0"/>
                <w:sz w:val="18"/>
                <w:szCs w:val="18"/>
              </w:rPr>
              <w:t>按时完成率=（按时完成工作数/实际完成工作数）×100%。按时完成工作数：部门（单位）按照整体绩效目标确定的时限实际完成的工作任务数量。</w:t>
            </w:r>
          </w:p>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产出成本</w:t>
            </w:r>
            <w:r>
              <w:rPr>
                <w:rFonts w:ascii="仿宋" w:eastAsia="仿宋" w:hAnsi="仿宋" w:cs="仿宋" w:hint="eastAsia"/>
                <w:kern w:val="0"/>
                <w:sz w:val="18"/>
                <w:szCs w:val="18"/>
              </w:rPr>
              <w:t>：单位产出相对于上一年度的节约额；②单位产出相对于市场同类产出的节约额；③部门公用经费的控制情况。</w:t>
            </w:r>
          </w:p>
        </w:tc>
        <w:tc>
          <w:tcPr>
            <w:tcW w:w="5042" w:type="dxa"/>
            <w:vMerge w:val="restart"/>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lastRenderedPageBreak/>
              <w:t>部门根据本单位情况自行确定并选择产出指标，合理确定各项指标权重。可量化的指标按照比率*单项指标分值即为该指标</w:t>
            </w:r>
            <w:r>
              <w:rPr>
                <w:rFonts w:ascii="仿宋" w:eastAsia="仿宋" w:hAnsi="仿宋" w:cs="仿宋" w:hint="eastAsia"/>
                <w:kern w:val="0"/>
                <w:sz w:val="18"/>
                <w:szCs w:val="18"/>
              </w:rPr>
              <w:lastRenderedPageBreak/>
              <w:t>得分。如果不能定量评价，则以定性的方式进行自评。</w:t>
            </w:r>
          </w:p>
        </w:tc>
      </w:tr>
      <w:tr w:rsidR="00F346E2">
        <w:trPr>
          <w:trHeight w:val="722"/>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产出质量</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（12）</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项目达标率</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100%</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vMerge/>
            <w:tcBorders>
              <w:tl2br w:val="nil"/>
              <w:tr2bl w:val="nil"/>
            </w:tcBorders>
            <w:vAlign w:val="center"/>
          </w:tcPr>
          <w:p w:rsidR="00F346E2" w:rsidRDefault="00F346E2">
            <w:pPr>
              <w:widowControl/>
              <w:spacing w:line="340" w:lineRule="exact"/>
              <w:jc w:val="center"/>
              <w:rPr>
                <w:rFonts w:ascii="仿宋" w:eastAsia="仿宋" w:hAnsi="仿宋" w:cs="仿宋"/>
                <w:kern w:val="0"/>
                <w:sz w:val="20"/>
                <w:szCs w:val="20"/>
              </w:rPr>
            </w:pP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项目成果转化与获奖情况</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16篇理论征文获奖、7件提案、41篇</w:t>
            </w:r>
            <w:r>
              <w:rPr>
                <w:rFonts w:ascii="仿宋" w:eastAsia="仿宋" w:hAnsi="仿宋" w:cs="仿宋" w:hint="eastAsia"/>
                <w:kern w:val="0"/>
                <w:szCs w:val="21"/>
                <w:lang w:bidi="ar"/>
              </w:rPr>
              <w:t>社情民意信息被采用或批示</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产出进度</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1454" w:type="dxa"/>
            <w:tcBorders>
              <w:tl2br w:val="nil"/>
              <w:tr2bl w:val="nil"/>
            </w:tcBorders>
            <w:vAlign w:val="center"/>
          </w:tcPr>
          <w:p w:rsidR="00F346E2" w:rsidRDefault="00BE79F1">
            <w:pPr>
              <w:widowControl/>
              <w:spacing w:line="340" w:lineRule="exact"/>
              <w:jc w:val="center"/>
              <w:textAlignment w:val="center"/>
              <w:rPr>
                <w:rFonts w:ascii="仿宋" w:eastAsia="仿宋" w:hAnsi="仿宋" w:cs="仿宋"/>
                <w:kern w:val="0"/>
                <w:sz w:val="20"/>
                <w:szCs w:val="20"/>
              </w:rPr>
            </w:pPr>
            <w:r>
              <w:rPr>
                <w:rFonts w:ascii="仿宋" w:eastAsia="仿宋" w:hAnsi="仿宋" w:cs="仿宋" w:hint="eastAsia"/>
                <w:kern w:val="0"/>
                <w:sz w:val="20"/>
                <w:szCs w:val="20"/>
              </w:rPr>
              <w:t>是否按时完成保质保量工作</w:t>
            </w:r>
          </w:p>
          <w:p w:rsidR="00F346E2" w:rsidRDefault="00BE79F1">
            <w:pPr>
              <w:widowControl/>
              <w:spacing w:line="340" w:lineRule="exact"/>
              <w:jc w:val="center"/>
              <w:textAlignment w:val="center"/>
              <w:rPr>
                <w:rFonts w:ascii="仿宋" w:eastAsia="仿宋" w:hAnsi="仿宋" w:cs="仿宋"/>
                <w:kern w:val="0"/>
                <w:sz w:val="20"/>
                <w:szCs w:val="20"/>
              </w:rPr>
            </w:pPr>
            <w:r>
              <w:rPr>
                <w:rFonts w:ascii="仿宋" w:eastAsia="仿宋" w:hAnsi="仿宋" w:cs="仿宋" w:hint="eastAsia"/>
                <w:kern w:val="0"/>
                <w:sz w:val="20"/>
                <w:szCs w:val="20"/>
              </w:rPr>
              <w:t>（6）</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按时保质完成</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产出成本</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成本</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控制率</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100%</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效果（30）</w:t>
            </w: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经济效益</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带动当地产业发展，促进生物医药等产业开拓创新，持</w:t>
            </w:r>
            <w:r>
              <w:rPr>
                <w:rFonts w:ascii="仿宋" w:eastAsia="仿宋" w:hAnsi="仿宋" w:cs="仿宋" w:hint="eastAsia"/>
                <w:kern w:val="0"/>
                <w:sz w:val="20"/>
                <w:szCs w:val="20"/>
              </w:rPr>
              <w:lastRenderedPageBreak/>
              <w:t>续开展精准帮扶工作</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lastRenderedPageBreak/>
              <w:t>带动当地产业发展，促进生物医药等产业开拓创</w:t>
            </w:r>
            <w:r>
              <w:rPr>
                <w:rFonts w:ascii="仿宋" w:eastAsia="仿宋" w:hAnsi="仿宋" w:cs="仿宋" w:hint="eastAsia"/>
                <w:kern w:val="0"/>
                <w:sz w:val="20"/>
                <w:szCs w:val="20"/>
              </w:rPr>
              <w:lastRenderedPageBreak/>
              <w:t>新，持续开展精准帮扶工作</w:t>
            </w:r>
          </w:p>
        </w:tc>
        <w:tc>
          <w:tcPr>
            <w:tcW w:w="557" w:type="dxa"/>
            <w:vMerge w:val="restart"/>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lastRenderedPageBreak/>
              <w:t>30</w:t>
            </w: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192" w:type="dxa"/>
            <w:vMerge w:val="restart"/>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经济效益</w:t>
            </w:r>
            <w:r>
              <w:rPr>
                <w:rFonts w:ascii="仿宋" w:eastAsia="仿宋" w:hAnsi="仿宋" w:cs="仿宋" w:hint="eastAsia"/>
                <w:kern w:val="0"/>
                <w:sz w:val="18"/>
                <w:szCs w:val="18"/>
              </w:rPr>
              <w:t>：部门（单位）履行职责对经济发展所带来的直接或间接影响。</w:t>
            </w:r>
          </w:p>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社会效益</w:t>
            </w:r>
            <w:r>
              <w:rPr>
                <w:rFonts w:ascii="仿宋" w:eastAsia="仿宋" w:hAnsi="仿宋" w:cs="仿宋" w:hint="eastAsia"/>
                <w:kern w:val="0"/>
                <w:sz w:val="18"/>
                <w:szCs w:val="18"/>
              </w:rPr>
              <w:t>：部门（单位）履行职责对社会发展所带来的直接或间接影响。</w:t>
            </w:r>
          </w:p>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lastRenderedPageBreak/>
              <w:t>环境效益</w:t>
            </w:r>
            <w:r>
              <w:rPr>
                <w:rFonts w:ascii="仿宋" w:eastAsia="仿宋" w:hAnsi="仿宋" w:cs="仿宋" w:hint="eastAsia"/>
                <w:kern w:val="0"/>
                <w:sz w:val="18"/>
                <w:szCs w:val="18"/>
              </w:rPr>
              <w:t>：部门（单位）履行职责对环境所带来的直接或间接影响。</w:t>
            </w:r>
          </w:p>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可持续性影响：</w:t>
            </w:r>
            <w:r>
              <w:rPr>
                <w:rFonts w:ascii="仿宋" w:eastAsia="仿宋" w:hAnsi="仿宋" w:cs="仿宋" w:hint="eastAsia"/>
                <w:kern w:val="0"/>
                <w:sz w:val="18"/>
                <w:szCs w:val="18"/>
              </w:rPr>
              <w:t>部门绩效目标实现的长效机制建设情况，部门工作效率提升措施的创新。</w:t>
            </w:r>
          </w:p>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服务对象满意度</w:t>
            </w:r>
            <w:r>
              <w:rPr>
                <w:rFonts w:ascii="仿宋" w:eastAsia="仿宋" w:hAnsi="仿宋" w:cs="仿宋" w:hint="eastAsia"/>
                <w:kern w:val="0"/>
                <w:sz w:val="18"/>
                <w:szCs w:val="18"/>
              </w:rPr>
              <w:t>：部门（单位）的服务对象对部门履职效果的满意程度。</w:t>
            </w:r>
          </w:p>
        </w:tc>
        <w:tc>
          <w:tcPr>
            <w:tcW w:w="5042" w:type="dxa"/>
            <w:vMerge w:val="restart"/>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lastRenderedPageBreak/>
              <w:t>部门根据实际情况选择指标进行填写，并将其细化为相应的个性化指标。对于效益类指标可从受益对象瞄准度、受益广度和受益深度上进行设计分析。</w:t>
            </w: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社会效益</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（12）</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Cs w:val="21"/>
                <w:lang w:bidi="ar"/>
              </w:rPr>
            </w:pPr>
            <w:r>
              <w:rPr>
                <w:rFonts w:ascii="仿宋" w:eastAsia="仿宋" w:hAnsi="仿宋" w:cs="仿宋" w:hint="eastAsia"/>
                <w:kern w:val="0"/>
                <w:szCs w:val="21"/>
                <w:lang w:bidi="ar"/>
              </w:rPr>
              <w:t>党员综合素质提升</w:t>
            </w:r>
          </w:p>
          <w:p w:rsidR="00F346E2" w:rsidRDefault="00BE79F1">
            <w:pPr>
              <w:widowControl/>
              <w:spacing w:line="340" w:lineRule="exact"/>
              <w:jc w:val="center"/>
              <w:rPr>
                <w:rFonts w:ascii="仿宋" w:eastAsia="仿宋" w:hAnsi="仿宋" w:cs="仿宋"/>
                <w:kern w:val="0"/>
                <w:szCs w:val="21"/>
                <w:lang w:bidi="ar"/>
              </w:rPr>
            </w:pPr>
            <w:r>
              <w:rPr>
                <w:rFonts w:ascii="仿宋" w:eastAsia="仿宋" w:hAnsi="仿宋" w:cs="仿宋" w:hint="eastAsia"/>
                <w:kern w:val="0"/>
                <w:szCs w:val="21"/>
                <w:lang w:bidi="ar"/>
              </w:rPr>
              <w:t>（3）</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Cs w:val="21"/>
              </w:rPr>
              <w:t>加大重点分工领域党员发展力度，加强党员培训</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vMerge/>
            <w:tcBorders>
              <w:tl2br w:val="nil"/>
              <w:tr2bl w:val="nil"/>
            </w:tcBorders>
            <w:vAlign w:val="center"/>
          </w:tcPr>
          <w:p w:rsidR="00F346E2" w:rsidRDefault="00F346E2">
            <w:pPr>
              <w:widowControl/>
              <w:spacing w:line="340" w:lineRule="exact"/>
              <w:jc w:val="center"/>
              <w:rPr>
                <w:rFonts w:ascii="仿宋" w:eastAsia="仿宋" w:hAnsi="仿宋" w:cs="仿宋"/>
                <w:kern w:val="0"/>
                <w:sz w:val="20"/>
                <w:szCs w:val="20"/>
              </w:rPr>
            </w:pP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Cs w:val="21"/>
                <w:lang w:bidi="ar"/>
              </w:rPr>
            </w:pPr>
            <w:r>
              <w:rPr>
                <w:rFonts w:ascii="仿宋" w:eastAsia="仿宋" w:hAnsi="仿宋" w:cs="仿宋" w:hint="eastAsia"/>
                <w:kern w:val="0"/>
                <w:szCs w:val="21"/>
                <w:lang w:bidi="ar"/>
              </w:rPr>
              <w:t>提交提案/建议并推动落实</w:t>
            </w:r>
          </w:p>
          <w:p w:rsidR="00F346E2" w:rsidRDefault="00BE79F1">
            <w:pPr>
              <w:widowControl/>
              <w:spacing w:line="340" w:lineRule="exact"/>
              <w:jc w:val="center"/>
              <w:rPr>
                <w:rFonts w:ascii="仿宋" w:eastAsia="仿宋" w:hAnsi="仿宋" w:cs="仿宋"/>
                <w:kern w:val="0"/>
                <w:szCs w:val="21"/>
                <w:lang w:bidi="ar"/>
              </w:rPr>
            </w:pPr>
            <w:r>
              <w:rPr>
                <w:rFonts w:ascii="仿宋" w:eastAsia="仿宋" w:hAnsi="仿宋" w:cs="仿宋" w:hint="eastAsia"/>
                <w:kern w:val="0"/>
                <w:szCs w:val="21"/>
                <w:lang w:bidi="ar"/>
              </w:rPr>
              <w:t>（3）</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Cs w:val="21"/>
                <w:lang w:bidi="ar"/>
              </w:rPr>
              <w:t>提交提案/建议被采用或批示，推进办理</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vMerge/>
            <w:tcBorders>
              <w:tl2br w:val="nil"/>
              <w:tr2bl w:val="nil"/>
            </w:tcBorders>
            <w:vAlign w:val="center"/>
          </w:tcPr>
          <w:p w:rsidR="00F346E2" w:rsidRDefault="00F346E2">
            <w:pPr>
              <w:widowControl/>
              <w:spacing w:line="340" w:lineRule="exact"/>
              <w:jc w:val="center"/>
              <w:rPr>
                <w:rFonts w:ascii="仿宋" w:eastAsia="仿宋" w:hAnsi="仿宋" w:cs="仿宋"/>
                <w:kern w:val="0"/>
                <w:sz w:val="20"/>
                <w:szCs w:val="20"/>
              </w:rPr>
            </w:pP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专项民主监督落实</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Cs w:val="21"/>
                <w:lang w:bidi="ar"/>
              </w:rPr>
              <w:t>（3）</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落实专项民主监督</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vMerge/>
            <w:tcBorders>
              <w:tl2br w:val="nil"/>
              <w:tr2bl w:val="nil"/>
            </w:tcBorders>
            <w:vAlign w:val="center"/>
          </w:tcPr>
          <w:p w:rsidR="00F346E2" w:rsidRDefault="00F346E2">
            <w:pPr>
              <w:widowControl/>
              <w:spacing w:line="340" w:lineRule="exact"/>
              <w:jc w:val="center"/>
              <w:rPr>
                <w:rFonts w:ascii="仿宋" w:eastAsia="仿宋" w:hAnsi="仿宋" w:cs="仿宋"/>
                <w:kern w:val="0"/>
                <w:sz w:val="20"/>
                <w:szCs w:val="20"/>
              </w:rPr>
            </w:pP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Cs w:val="21"/>
              </w:rPr>
            </w:pPr>
            <w:r>
              <w:rPr>
                <w:rFonts w:ascii="仿宋" w:eastAsia="仿宋" w:hAnsi="仿宋" w:cs="仿宋" w:hint="eastAsia"/>
                <w:kern w:val="0"/>
                <w:szCs w:val="21"/>
              </w:rPr>
              <w:t>推动当地文化教育、医疗卫生发展</w:t>
            </w:r>
          </w:p>
          <w:p w:rsidR="00F346E2" w:rsidRDefault="00BE79F1">
            <w:pPr>
              <w:widowControl/>
              <w:spacing w:line="340" w:lineRule="exact"/>
              <w:jc w:val="center"/>
              <w:rPr>
                <w:rFonts w:ascii="仿宋" w:eastAsia="仿宋" w:hAnsi="仿宋" w:cs="仿宋"/>
                <w:kern w:val="0"/>
                <w:szCs w:val="21"/>
              </w:rPr>
            </w:pPr>
            <w:r>
              <w:rPr>
                <w:rFonts w:ascii="仿宋" w:eastAsia="仿宋" w:hAnsi="仿宋" w:cs="仿宋" w:hint="eastAsia"/>
                <w:kern w:val="0"/>
                <w:szCs w:val="21"/>
                <w:lang w:bidi="ar"/>
              </w:rPr>
              <w:t>（3）</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Cs w:val="21"/>
              </w:rPr>
              <w:t>提升农工党影响力</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825"/>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可持续影响</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长效机制</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建立长效机制</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vMerge/>
            <w:tcBorders>
              <w:tl2br w:val="nil"/>
              <w:tr2bl w:val="nil"/>
            </w:tcBorders>
            <w:vAlign w:val="center"/>
          </w:tcPr>
          <w:p w:rsidR="00F346E2" w:rsidRDefault="00F346E2">
            <w:pPr>
              <w:widowControl/>
              <w:spacing w:line="340" w:lineRule="exact"/>
              <w:jc w:val="center"/>
              <w:rPr>
                <w:rFonts w:ascii="仿宋" w:eastAsia="仿宋" w:hAnsi="仿宋" w:cs="仿宋"/>
                <w:kern w:val="0"/>
                <w:sz w:val="20"/>
                <w:szCs w:val="20"/>
              </w:rPr>
            </w:pP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Cs w:val="21"/>
              </w:rPr>
            </w:pPr>
            <w:r>
              <w:rPr>
                <w:rFonts w:ascii="仿宋" w:eastAsia="仿宋" w:hAnsi="仿宋" w:cs="仿宋" w:hint="eastAsia"/>
                <w:kern w:val="0"/>
                <w:szCs w:val="21"/>
              </w:rPr>
              <w:t>提升农工党影响力</w:t>
            </w:r>
          </w:p>
          <w:p w:rsidR="00F346E2" w:rsidRDefault="00BE79F1">
            <w:pPr>
              <w:widowControl/>
              <w:spacing w:line="340" w:lineRule="exact"/>
              <w:jc w:val="center"/>
              <w:rPr>
                <w:rFonts w:ascii="仿宋" w:eastAsia="仿宋" w:hAnsi="仿宋" w:cs="仿宋"/>
                <w:kern w:val="0"/>
                <w:szCs w:val="21"/>
              </w:rPr>
            </w:pPr>
            <w:r>
              <w:rPr>
                <w:rFonts w:ascii="仿宋" w:eastAsia="仿宋" w:hAnsi="仿宋" w:cs="仿宋" w:hint="eastAsia"/>
                <w:kern w:val="0"/>
                <w:sz w:val="20"/>
                <w:szCs w:val="20"/>
              </w:rPr>
              <w:lastRenderedPageBreak/>
              <w:t>（4）</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Cs w:val="21"/>
              </w:rPr>
              <w:lastRenderedPageBreak/>
              <w:t>提升农工党影响力</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1341"/>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服务对象</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满意度</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服务对象满意度</w:t>
            </w:r>
          </w:p>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服务群众满意度</w:t>
            </w:r>
          </w:p>
        </w:tc>
        <w:tc>
          <w:tcPr>
            <w:tcW w:w="557"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19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c>
          <w:tcPr>
            <w:tcW w:w="504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18"/>
                <w:szCs w:val="18"/>
              </w:rPr>
            </w:pPr>
          </w:p>
        </w:tc>
      </w:tr>
      <w:tr w:rsidR="00F346E2">
        <w:trPr>
          <w:trHeight w:val="23"/>
          <w:jc w:val="center"/>
        </w:trPr>
        <w:tc>
          <w:tcPr>
            <w:tcW w:w="15074" w:type="dxa"/>
            <w:gridSpan w:val="9"/>
            <w:tcBorders>
              <w:tl2br w:val="nil"/>
              <w:tr2bl w:val="nil"/>
            </w:tcBorders>
            <w:vAlign w:val="center"/>
          </w:tcPr>
          <w:p w:rsidR="00F346E2" w:rsidRDefault="00BE79F1">
            <w:pPr>
              <w:widowControl/>
              <w:spacing w:line="340" w:lineRule="exact"/>
              <w:jc w:val="left"/>
              <w:rPr>
                <w:rFonts w:ascii="仿宋" w:eastAsia="仿宋" w:hAnsi="仿宋" w:cs="仿宋"/>
                <w:b/>
                <w:bCs/>
                <w:kern w:val="0"/>
                <w:sz w:val="18"/>
                <w:szCs w:val="18"/>
              </w:rPr>
            </w:pPr>
            <w:r>
              <w:rPr>
                <w:rFonts w:ascii="仿宋" w:eastAsia="仿宋" w:hAnsi="仿宋" w:cs="仿宋" w:hint="eastAsia"/>
                <w:b/>
                <w:bCs/>
                <w:kern w:val="0"/>
                <w:sz w:val="18"/>
                <w:szCs w:val="18"/>
              </w:rPr>
              <w:t>三、</w:t>
            </w:r>
            <w:r>
              <w:rPr>
                <w:rFonts w:ascii="仿宋" w:eastAsia="仿宋" w:hAnsi="仿宋" w:cs="仿宋" w:hint="eastAsia"/>
                <w:b/>
                <w:bCs/>
                <w:kern w:val="0"/>
                <w:sz w:val="20"/>
                <w:szCs w:val="20"/>
              </w:rPr>
              <w:t>预算管理情况（20分）</w:t>
            </w:r>
          </w:p>
        </w:tc>
      </w:tr>
      <w:tr w:rsidR="00F346E2">
        <w:trPr>
          <w:trHeight w:val="23"/>
          <w:jc w:val="center"/>
        </w:trPr>
        <w:tc>
          <w:tcPr>
            <w:tcW w:w="8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一级指标</w:t>
            </w: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二级指标</w:t>
            </w: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三级指标</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指标值</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完成值</w:t>
            </w:r>
          </w:p>
        </w:tc>
        <w:tc>
          <w:tcPr>
            <w:tcW w:w="55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分值</w:t>
            </w: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得分</w:t>
            </w:r>
          </w:p>
        </w:tc>
        <w:tc>
          <w:tcPr>
            <w:tcW w:w="3192" w:type="dxa"/>
            <w:tcBorders>
              <w:tl2br w:val="nil"/>
              <w:tr2bl w:val="nil"/>
            </w:tcBorders>
            <w:vAlign w:val="center"/>
          </w:tcPr>
          <w:p w:rsidR="00F346E2" w:rsidRDefault="00BE79F1">
            <w:pPr>
              <w:widowControl/>
              <w:spacing w:line="340" w:lineRule="exact"/>
              <w:jc w:val="center"/>
              <w:rPr>
                <w:rFonts w:ascii="仿宋" w:eastAsia="仿宋" w:hAnsi="仿宋" w:cs="仿宋"/>
                <w:b/>
                <w:bCs/>
                <w:kern w:val="0"/>
                <w:sz w:val="18"/>
                <w:szCs w:val="18"/>
              </w:rPr>
            </w:pPr>
            <w:r>
              <w:rPr>
                <w:rFonts w:ascii="仿宋" w:eastAsia="仿宋" w:hAnsi="仿宋" w:cs="仿宋" w:hint="eastAsia"/>
                <w:bCs/>
                <w:kern w:val="0"/>
                <w:sz w:val="18"/>
                <w:szCs w:val="18"/>
              </w:rPr>
              <w:t>指标解释</w:t>
            </w:r>
          </w:p>
        </w:tc>
        <w:tc>
          <w:tcPr>
            <w:tcW w:w="504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评分标准</w:t>
            </w:r>
          </w:p>
        </w:tc>
      </w:tr>
      <w:tr w:rsidR="00F346E2">
        <w:trPr>
          <w:trHeight w:val="23"/>
          <w:jc w:val="center"/>
        </w:trPr>
        <w:tc>
          <w:tcPr>
            <w:tcW w:w="825"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预算管理情况（20）</w:t>
            </w:r>
          </w:p>
        </w:tc>
        <w:tc>
          <w:tcPr>
            <w:tcW w:w="862" w:type="dxa"/>
            <w:vMerge w:val="restart"/>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财务管理（4）</w:t>
            </w: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财务管理制度健全性</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预算绩效管理、资产、财务管理等制度健全性</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预算绩效管理、资产、财务管理等制度完整、合规</w:t>
            </w:r>
          </w:p>
        </w:tc>
        <w:tc>
          <w:tcPr>
            <w:tcW w:w="55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319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财务管理制度健全性:</w:t>
            </w:r>
            <w:r>
              <w:rPr>
                <w:rFonts w:ascii="仿宋" w:eastAsia="仿宋" w:hAnsi="仿宋" w:cs="仿宋" w:hint="eastAsia"/>
                <w:kern w:val="0"/>
                <w:sz w:val="18"/>
                <w:szCs w:val="18"/>
              </w:rPr>
              <w:t>部门（单位）为加强财务管理、规范财务行为而制定的管理制度。</w:t>
            </w:r>
          </w:p>
        </w:tc>
        <w:tc>
          <w:tcPr>
            <w:tcW w:w="504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资金使用合规性和安全性</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资金使用合规性与安全性</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资金使用规范运行和安全运行</w:t>
            </w:r>
          </w:p>
        </w:tc>
        <w:tc>
          <w:tcPr>
            <w:tcW w:w="55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319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资金使用合规性和安全性：</w:t>
            </w:r>
            <w:r>
              <w:rPr>
                <w:rFonts w:ascii="仿宋" w:eastAsia="仿宋" w:hAnsi="仿宋" w:cs="仿宋" w:hint="eastAsia"/>
                <w:kern w:val="0"/>
                <w:sz w:val="18"/>
                <w:szCs w:val="18"/>
              </w:rPr>
              <w:t>部门（单位）使用预算资金是否符合相关的预算财务管理制度的规定，是否符合相关规定的开支范围，用以反映考核部门（单位）预算资金的规范运行和安全运行情况。</w:t>
            </w:r>
          </w:p>
        </w:tc>
        <w:tc>
          <w:tcPr>
            <w:tcW w:w="504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会计基础信息完善性</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会计基础信息的真实性、完整性和准确性</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基础数据信息和会计信息资料真实、完整、准确</w:t>
            </w:r>
          </w:p>
        </w:tc>
        <w:tc>
          <w:tcPr>
            <w:tcW w:w="55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487" w:type="dxa"/>
            <w:tcBorders>
              <w:tl2br w:val="nil"/>
              <w:tr2bl w:val="nil"/>
            </w:tcBorders>
            <w:noWrap/>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319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会计基础信息完善性：</w:t>
            </w:r>
            <w:r>
              <w:rPr>
                <w:rFonts w:ascii="仿宋" w:eastAsia="仿宋" w:hAnsi="仿宋" w:cs="仿宋" w:hint="eastAsia"/>
                <w:kern w:val="0"/>
                <w:sz w:val="18"/>
                <w:szCs w:val="18"/>
              </w:rPr>
              <w:t>部门（单位）会计基础信息情况。</w:t>
            </w:r>
          </w:p>
        </w:tc>
        <w:tc>
          <w:tcPr>
            <w:tcW w:w="504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①基础数据信息和会计信息资料是否真实；②基础数据信息和会计信息资料是否完整；③基础数据信息和会计信息资料是否准确。每有一项不合格扣0.5分，扣完为止。</w:t>
            </w: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资产管</w:t>
            </w:r>
            <w:r>
              <w:rPr>
                <w:rFonts w:ascii="仿宋" w:eastAsia="仿宋" w:hAnsi="仿宋" w:cs="仿宋" w:hint="eastAsia"/>
                <w:kern w:val="0"/>
                <w:sz w:val="20"/>
                <w:szCs w:val="20"/>
              </w:rPr>
              <w:lastRenderedPageBreak/>
              <w:t>理（4）</w:t>
            </w: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lastRenderedPageBreak/>
              <w:t>资产管理规</w:t>
            </w:r>
            <w:r>
              <w:rPr>
                <w:rFonts w:ascii="仿宋" w:eastAsia="仿宋" w:hAnsi="仿宋" w:cs="仿宋" w:hint="eastAsia"/>
                <w:kern w:val="0"/>
                <w:sz w:val="20"/>
                <w:szCs w:val="20"/>
              </w:rPr>
              <w:lastRenderedPageBreak/>
              <w:t>范性</w:t>
            </w:r>
          </w:p>
        </w:tc>
        <w:tc>
          <w:tcPr>
            <w:tcW w:w="1454" w:type="dxa"/>
            <w:tcBorders>
              <w:tl2br w:val="nil"/>
              <w:tr2bl w:val="nil"/>
            </w:tcBorders>
            <w:vAlign w:val="center"/>
          </w:tcPr>
          <w:p w:rsidR="00F346E2" w:rsidRDefault="00BE79F1">
            <w:pPr>
              <w:widowControl/>
              <w:spacing w:line="340" w:lineRule="exact"/>
              <w:jc w:val="left"/>
              <w:rPr>
                <w:rFonts w:ascii="仿宋" w:eastAsia="仿宋" w:hAnsi="仿宋" w:cs="仿宋"/>
                <w:kern w:val="0"/>
                <w:sz w:val="20"/>
                <w:szCs w:val="20"/>
              </w:rPr>
            </w:pPr>
            <w:r>
              <w:rPr>
                <w:rFonts w:ascii="仿宋" w:eastAsia="仿宋" w:hAnsi="仿宋" w:cs="仿宋" w:hint="eastAsia"/>
                <w:kern w:val="0"/>
                <w:sz w:val="20"/>
                <w:szCs w:val="20"/>
              </w:rPr>
              <w:lastRenderedPageBreak/>
              <w:t>资产配置、使</w:t>
            </w:r>
            <w:r>
              <w:rPr>
                <w:rFonts w:ascii="仿宋" w:eastAsia="仿宋" w:hAnsi="仿宋" w:cs="仿宋" w:hint="eastAsia"/>
                <w:kern w:val="0"/>
                <w:sz w:val="20"/>
                <w:szCs w:val="20"/>
              </w:rPr>
              <w:lastRenderedPageBreak/>
              <w:t>用和处理的规范性</w:t>
            </w:r>
          </w:p>
        </w:tc>
        <w:tc>
          <w:tcPr>
            <w:tcW w:w="1330" w:type="dxa"/>
            <w:tcBorders>
              <w:tl2br w:val="nil"/>
              <w:tr2bl w:val="nil"/>
            </w:tcBorders>
            <w:vAlign w:val="center"/>
          </w:tcPr>
          <w:p w:rsidR="00F346E2" w:rsidRDefault="00BE79F1">
            <w:pPr>
              <w:widowControl/>
              <w:spacing w:line="340" w:lineRule="exact"/>
              <w:jc w:val="left"/>
              <w:rPr>
                <w:rFonts w:ascii="仿宋" w:eastAsia="仿宋" w:hAnsi="仿宋" w:cs="仿宋"/>
                <w:kern w:val="0"/>
                <w:sz w:val="20"/>
                <w:szCs w:val="20"/>
              </w:rPr>
            </w:pPr>
            <w:r>
              <w:rPr>
                <w:rFonts w:ascii="仿宋" w:eastAsia="仿宋" w:hAnsi="仿宋" w:cs="仿宋" w:hint="eastAsia"/>
                <w:kern w:val="0"/>
                <w:sz w:val="20"/>
                <w:szCs w:val="20"/>
              </w:rPr>
              <w:lastRenderedPageBreak/>
              <w:t>资产配置、使</w:t>
            </w:r>
            <w:r>
              <w:rPr>
                <w:rFonts w:ascii="仿宋" w:eastAsia="仿宋" w:hAnsi="仿宋" w:cs="仿宋" w:hint="eastAsia"/>
                <w:kern w:val="0"/>
                <w:sz w:val="20"/>
                <w:szCs w:val="20"/>
              </w:rPr>
              <w:lastRenderedPageBreak/>
              <w:t>用和处理合理规范，未存在严重资产损失和丢失情况</w:t>
            </w:r>
          </w:p>
        </w:tc>
        <w:tc>
          <w:tcPr>
            <w:tcW w:w="55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lastRenderedPageBreak/>
              <w:t>4</w:t>
            </w:r>
          </w:p>
        </w:tc>
        <w:tc>
          <w:tcPr>
            <w:tcW w:w="48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19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资产管理规范性：</w:t>
            </w:r>
            <w:r>
              <w:rPr>
                <w:rFonts w:ascii="仿宋" w:eastAsia="仿宋" w:hAnsi="仿宋" w:cs="仿宋" w:hint="eastAsia"/>
                <w:kern w:val="0"/>
                <w:sz w:val="18"/>
                <w:szCs w:val="18"/>
              </w:rPr>
              <w:t>部门（单位）的资产</w:t>
            </w:r>
            <w:r>
              <w:rPr>
                <w:rFonts w:ascii="仿宋" w:eastAsia="仿宋" w:hAnsi="仿宋" w:cs="仿宋" w:hint="eastAsia"/>
                <w:kern w:val="0"/>
                <w:sz w:val="18"/>
                <w:szCs w:val="18"/>
              </w:rPr>
              <w:lastRenderedPageBreak/>
              <w:t>是否保持安全完整，资产配置是否合理，资产使用和资产处理是否规范，用以反映和考核部门（单位）资产管理的整体水平。</w:t>
            </w:r>
          </w:p>
        </w:tc>
        <w:tc>
          <w:tcPr>
            <w:tcW w:w="504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lastRenderedPageBreak/>
              <w:t>①对外投资行为是否经审批，是否存在投资亏损；②是否有因</w:t>
            </w:r>
            <w:r>
              <w:rPr>
                <w:rFonts w:ascii="仿宋" w:eastAsia="仿宋" w:hAnsi="仿宋" w:cs="仿宋" w:hint="eastAsia"/>
                <w:kern w:val="0"/>
                <w:sz w:val="18"/>
                <w:szCs w:val="18"/>
              </w:rPr>
              <w:lastRenderedPageBreak/>
              <w:t>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绩效管理（4）</w:t>
            </w:r>
          </w:p>
        </w:tc>
        <w:tc>
          <w:tcPr>
            <w:tcW w:w="1325"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绩效管理情况</w:t>
            </w:r>
          </w:p>
        </w:tc>
        <w:tc>
          <w:tcPr>
            <w:tcW w:w="1454"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绩效信息收集和分析应用</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及时对绩效信息进行汇总分析整理并对绩效目标偏离情况及时进行矫正</w:t>
            </w:r>
          </w:p>
        </w:tc>
        <w:tc>
          <w:tcPr>
            <w:tcW w:w="55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48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19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b/>
                <w:bCs/>
                <w:kern w:val="0"/>
                <w:sz w:val="18"/>
                <w:szCs w:val="18"/>
              </w:rPr>
              <w:t>绩效管理情况：</w:t>
            </w:r>
            <w:r>
              <w:rPr>
                <w:rFonts w:ascii="仿宋" w:eastAsia="仿宋" w:hAnsi="仿宋" w:cs="仿宋" w:hint="eastAsia"/>
                <w:kern w:val="0"/>
                <w:sz w:val="18"/>
                <w:szCs w:val="18"/>
              </w:rPr>
              <w:t>考核部门（单位）在绩效管理信息的汇总和应用情况。</w:t>
            </w:r>
          </w:p>
        </w:tc>
        <w:tc>
          <w:tcPr>
            <w:tcW w:w="504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①部门（单位）是否及时对绩效信息进行汇总分析整理；②部门（单位）是否对绩效目标偏离情况及时进行矫正。每有一项不合格扣2分。</w:t>
            </w: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tcBorders>
              <w:tl2br w:val="nil"/>
              <w:tr2bl w:val="nil"/>
            </w:tcBorders>
            <w:vAlign w:val="center"/>
          </w:tcPr>
          <w:p w:rsidR="00F346E2" w:rsidRDefault="00BE79F1">
            <w:pPr>
              <w:widowControl/>
              <w:spacing w:line="340" w:lineRule="exact"/>
              <w:rPr>
                <w:rFonts w:ascii="仿宋" w:eastAsia="仿宋" w:hAnsi="仿宋" w:cs="仿宋"/>
                <w:kern w:val="0"/>
                <w:sz w:val="20"/>
                <w:szCs w:val="20"/>
              </w:rPr>
            </w:pPr>
            <w:r>
              <w:rPr>
                <w:rFonts w:ascii="仿宋" w:eastAsia="仿宋" w:hAnsi="仿宋" w:cs="仿宋" w:hint="eastAsia"/>
                <w:kern w:val="0"/>
                <w:sz w:val="20"/>
                <w:szCs w:val="20"/>
              </w:rPr>
              <w:t>结转结余率（4）</w:t>
            </w:r>
          </w:p>
        </w:tc>
        <w:tc>
          <w:tcPr>
            <w:tcW w:w="2779" w:type="dxa"/>
            <w:gridSpan w:val="2"/>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3.79%</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highlight w:val="green"/>
              </w:rPr>
            </w:pPr>
            <w:r w:rsidRPr="00C34CF8">
              <w:rPr>
                <w:rFonts w:ascii="仿宋" w:eastAsia="仿宋" w:hAnsi="仿宋" w:cs="仿宋" w:hint="eastAsia"/>
                <w:kern w:val="0"/>
                <w:sz w:val="20"/>
                <w:szCs w:val="20"/>
              </w:rPr>
              <w:t>0.61%</w:t>
            </w:r>
          </w:p>
        </w:tc>
        <w:tc>
          <w:tcPr>
            <w:tcW w:w="55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48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19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结转结余率=结转结余总额/支出预算数×100%。</w:t>
            </w:r>
            <w:r>
              <w:rPr>
                <w:rFonts w:ascii="仿宋" w:eastAsia="仿宋" w:hAnsi="仿宋" w:cs="仿宋" w:hint="eastAsia"/>
                <w:kern w:val="0"/>
                <w:sz w:val="18"/>
                <w:szCs w:val="18"/>
              </w:rPr>
              <w:br/>
              <w:t>结转结余总额：部门（单位）本年度的结转资金与结余资金之和。</w:t>
            </w:r>
          </w:p>
        </w:tc>
        <w:tc>
          <w:tcPr>
            <w:tcW w:w="504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rsidR="00F346E2">
        <w:trPr>
          <w:trHeight w:val="23"/>
          <w:jc w:val="center"/>
        </w:trPr>
        <w:tc>
          <w:tcPr>
            <w:tcW w:w="825" w:type="dxa"/>
            <w:vMerge/>
            <w:tcBorders>
              <w:tl2br w:val="nil"/>
              <w:tr2bl w:val="nil"/>
            </w:tcBorders>
            <w:vAlign w:val="center"/>
          </w:tcPr>
          <w:p w:rsidR="00F346E2" w:rsidRDefault="00F346E2">
            <w:pPr>
              <w:widowControl/>
              <w:spacing w:line="340" w:lineRule="exact"/>
              <w:jc w:val="left"/>
              <w:rPr>
                <w:rFonts w:ascii="仿宋" w:eastAsia="仿宋" w:hAnsi="仿宋" w:cs="仿宋"/>
                <w:kern w:val="0"/>
                <w:sz w:val="20"/>
                <w:szCs w:val="20"/>
              </w:rPr>
            </w:pPr>
          </w:p>
        </w:tc>
        <w:tc>
          <w:tcPr>
            <w:tcW w:w="862" w:type="dxa"/>
            <w:tcBorders>
              <w:tl2br w:val="nil"/>
              <w:tr2bl w:val="nil"/>
            </w:tcBorders>
            <w:vAlign w:val="center"/>
          </w:tcPr>
          <w:p w:rsidR="00F346E2" w:rsidRDefault="00BE79F1">
            <w:pPr>
              <w:widowControl/>
              <w:spacing w:line="340" w:lineRule="exact"/>
              <w:rPr>
                <w:rFonts w:ascii="仿宋" w:eastAsia="仿宋" w:hAnsi="仿宋" w:cs="仿宋"/>
                <w:kern w:val="0"/>
                <w:sz w:val="20"/>
                <w:szCs w:val="20"/>
              </w:rPr>
            </w:pPr>
            <w:r>
              <w:rPr>
                <w:rFonts w:ascii="仿宋" w:eastAsia="仿宋" w:hAnsi="仿宋" w:cs="仿宋" w:hint="eastAsia"/>
                <w:kern w:val="0"/>
                <w:sz w:val="20"/>
                <w:szCs w:val="20"/>
              </w:rPr>
              <w:t>部门预决算差异率（4）</w:t>
            </w:r>
          </w:p>
        </w:tc>
        <w:tc>
          <w:tcPr>
            <w:tcW w:w="2779" w:type="dxa"/>
            <w:gridSpan w:val="2"/>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w:t>
            </w:r>
          </w:p>
        </w:tc>
        <w:tc>
          <w:tcPr>
            <w:tcW w:w="1330"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highlight w:val="green"/>
              </w:rPr>
            </w:pPr>
            <w:r w:rsidRPr="00C34CF8">
              <w:rPr>
                <w:rFonts w:ascii="仿宋" w:eastAsia="仿宋" w:hAnsi="仿宋" w:cs="仿宋" w:hint="eastAsia"/>
                <w:kern w:val="0"/>
                <w:sz w:val="20"/>
                <w:szCs w:val="20"/>
              </w:rPr>
              <w:t>1.16%</w:t>
            </w:r>
          </w:p>
        </w:tc>
        <w:tc>
          <w:tcPr>
            <w:tcW w:w="55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487" w:type="dxa"/>
            <w:tcBorders>
              <w:tl2br w:val="nil"/>
              <w:tr2bl w:val="nil"/>
            </w:tcBorders>
            <w:vAlign w:val="center"/>
          </w:tcPr>
          <w:p w:rsidR="00F346E2" w:rsidRDefault="00BE79F1">
            <w:pPr>
              <w:widowControl/>
              <w:spacing w:line="3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19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通过年度部门决算与年初部门预算对比，对部门的年度支出情况进行考核，衡量部门预算的约束力。</w:t>
            </w:r>
          </w:p>
        </w:tc>
        <w:tc>
          <w:tcPr>
            <w:tcW w:w="5042" w:type="dxa"/>
            <w:tcBorders>
              <w:tl2br w:val="nil"/>
              <w:tr2bl w:val="nil"/>
            </w:tcBorders>
            <w:vAlign w:val="center"/>
          </w:tcPr>
          <w:p w:rsidR="00F346E2" w:rsidRDefault="00BE79F1">
            <w:pPr>
              <w:widowControl/>
              <w:spacing w:line="340" w:lineRule="exact"/>
              <w:jc w:val="left"/>
              <w:rPr>
                <w:rFonts w:ascii="仿宋" w:eastAsia="仿宋" w:hAnsi="仿宋" w:cs="仿宋"/>
                <w:kern w:val="0"/>
                <w:sz w:val="18"/>
                <w:szCs w:val="18"/>
              </w:rPr>
            </w:pPr>
            <w:r>
              <w:rPr>
                <w:rFonts w:ascii="仿宋" w:eastAsia="仿宋" w:hAnsi="仿宋" w:cs="仿宋" w:hint="eastAsia"/>
                <w:kern w:val="0"/>
                <w:sz w:val="18"/>
                <w:szCs w:val="18"/>
              </w:rPr>
              <w:t>部门预决算差异率高于市级平均差异率（28.3%）的，每高出10%（含），扣0.4分，扣完为止。</w:t>
            </w:r>
          </w:p>
        </w:tc>
      </w:tr>
      <w:tr w:rsidR="00F346E2">
        <w:trPr>
          <w:trHeight w:val="23"/>
          <w:jc w:val="center"/>
        </w:trPr>
        <w:tc>
          <w:tcPr>
            <w:tcW w:w="5796" w:type="dxa"/>
            <w:gridSpan w:val="5"/>
            <w:tcBorders>
              <w:tl2br w:val="nil"/>
              <w:tr2bl w:val="nil"/>
            </w:tcBorders>
            <w:vAlign w:val="center"/>
          </w:tcPr>
          <w:p w:rsidR="00F346E2" w:rsidRDefault="00BE79F1">
            <w:pPr>
              <w:widowControl/>
              <w:spacing w:line="340" w:lineRule="exact"/>
              <w:jc w:val="center"/>
              <w:rPr>
                <w:rFonts w:ascii="仿宋" w:eastAsia="仿宋" w:hAnsi="仿宋" w:cs="仿宋"/>
                <w:b/>
                <w:bCs/>
                <w:kern w:val="0"/>
                <w:sz w:val="20"/>
                <w:szCs w:val="20"/>
              </w:rPr>
            </w:pPr>
            <w:r>
              <w:rPr>
                <w:rFonts w:ascii="仿宋" w:eastAsia="仿宋" w:hAnsi="仿宋" w:cs="仿宋" w:hint="eastAsia"/>
                <w:b/>
                <w:bCs/>
                <w:kern w:val="0"/>
                <w:sz w:val="20"/>
                <w:szCs w:val="20"/>
              </w:rPr>
              <w:t>合计</w:t>
            </w:r>
          </w:p>
        </w:tc>
        <w:tc>
          <w:tcPr>
            <w:tcW w:w="557" w:type="dxa"/>
            <w:tcBorders>
              <w:tl2br w:val="nil"/>
              <w:tr2bl w:val="nil"/>
            </w:tcBorders>
            <w:vAlign w:val="center"/>
          </w:tcPr>
          <w:p w:rsidR="00F346E2" w:rsidRDefault="00BE79F1">
            <w:pPr>
              <w:widowControl/>
              <w:spacing w:line="340" w:lineRule="exact"/>
              <w:jc w:val="center"/>
              <w:rPr>
                <w:rFonts w:ascii="仿宋" w:eastAsia="仿宋" w:hAnsi="仿宋" w:cs="仿宋"/>
                <w:b/>
                <w:bCs/>
                <w:kern w:val="0"/>
                <w:sz w:val="20"/>
                <w:szCs w:val="20"/>
              </w:rPr>
            </w:pPr>
            <w:r>
              <w:rPr>
                <w:rFonts w:ascii="仿宋" w:eastAsia="仿宋" w:hAnsi="仿宋" w:cs="仿宋" w:hint="eastAsia"/>
                <w:b/>
                <w:bCs/>
                <w:kern w:val="0"/>
                <w:sz w:val="20"/>
                <w:szCs w:val="20"/>
              </w:rPr>
              <w:t>100</w:t>
            </w:r>
          </w:p>
        </w:tc>
        <w:tc>
          <w:tcPr>
            <w:tcW w:w="487" w:type="dxa"/>
            <w:tcBorders>
              <w:tl2br w:val="nil"/>
              <w:tr2bl w:val="nil"/>
            </w:tcBorders>
            <w:vAlign w:val="center"/>
          </w:tcPr>
          <w:p w:rsidR="00F346E2" w:rsidRDefault="00BE79F1">
            <w:pPr>
              <w:widowControl/>
              <w:spacing w:line="340" w:lineRule="exact"/>
              <w:jc w:val="center"/>
              <w:rPr>
                <w:rFonts w:ascii="仿宋" w:eastAsia="仿宋" w:hAnsi="仿宋" w:cs="仿宋"/>
                <w:b/>
                <w:bCs/>
                <w:color w:val="FF0000"/>
                <w:kern w:val="0"/>
                <w:sz w:val="20"/>
                <w:szCs w:val="20"/>
              </w:rPr>
            </w:pPr>
            <w:r>
              <w:rPr>
                <w:rFonts w:ascii="仿宋" w:eastAsia="仿宋" w:hAnsi="仿宋" w:cs="仿宋"/>
                <w:b/>
                <w:bCs/>
                <w:kern w:val="0"/>
                <w:sz w:val="20"/>
                <w:szCs w:val="20"/>
              </w:rPr>
              <w:t>9</w:t>
            </w:r>
            <w:r>
              <w:rPr>
                <w:rFonts w:ascii="仿宋" w:eastAsia="仿宋" w:hAnsi="仿宋" w:cs="仿宋" w:hint="eastAsia"/>
                <w:b/>
                <w:bCs/>
                <w:kern w:val="0"/>
                <w:sz w:val="20"/>
                <w:szCs w:val="20"/>
              </w:rPr>
              <w:t>6</w:t>
            </w:r>
          </w:p>
        </w:tc>
        <w:tc>
          <w:tcPr>
            <w:tcW w:w="8234" w:type="dxa"/>
            <w:gridSpan w:val="2"/>
            <w:tcBorders>
              <w:tl2br w:val="nil"/>
              <w:tr2bl w:val="nil"/>
            </w:tcBorders>
            <w:vAlign w:val="center"/>
          </w:tcPr>
          <w:p w:rsidR="00F346E2" w:rsidRDefault="00F346E2">
            <w:pPr>
              <w:widowControl/>
              <w:spacing w:line="340" w:lineRule="exact"/>
              <w:jc w:val="center"/>
              <w:rPr>
                <w:rFonts w:ascii="仿宋" w:eastAsia="仿宋" w:hAnsi="仿宋" w:cs="仿宋"/>
                <w:b/>
                <w:bCs/>
                <w:kern w:val="0"/>
                <w:sz w:val="18"/>
                <w:szCs w:val="18"/>
              </w:rPr>
            </w:pPr>
          </w:p>
        </w:tc>
      </w:tr>
    </w:tbl>
    <w:p w:rsidR="00F346E2" w:rsidRDefault="00F346E2">
      <w:pPr>
        <w:pStyle w:val="a3"/>
        <w:ind w:firstLineChars="0" w:firstLine="0"/>
        <w:rPr>
          <w:rFonts w:ascii="仿宋_GB2312" w:eastAsia="仿宋_GB2312"/>
          <w:sz w:val="32"/>
          <w:szCs w:val="32"/>
        </w:rPr>
      </w:pPr>
    </w:p>
    <w:sectPr w:rsidR="00F346E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F6" w:rsidRDefault="00FF22F6">
      <w:r>
        <w:separator/>
      </w:r>
    </w:p>
  </w:endnote>
  <w:endnote w:type="continuationSeparator" w:id="0">
    <w:p w:rsidR="00FF22F6" w:rsidRDefault="00FF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349BCC8-A7EC-4F6C-A2C1-90E1DCB3703A}"/>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0C6393B5-033F-4CF8-AF04-3FD8CA065DF1}"/>
    <w:embedBold r:id="rId3" w:subsetted="1" w:fontKey="{AF8F542C-9191-4F79-BD05-3DBA7F5A1187}"/>
  </w:font>
  <w:font w:name="仿宋">
    <w:panose1 w:val="02010609060101010101"/>
    <w:charset w:val="86"/>
    <w:family w:val="modern"/>
    <w:pitch w:val="fixed"/>
    <w:sig w:usb0="800002BF" w:usb1="38CF7CFA" w:usb2="00000016" w:usb3="00000000" w:csb0="00040001" w:csb1="00000000"/>
    <w:embedRegular r:id="rId4" w:subsetted="1" w:fontKey="{FD9F4FCD-70CB-4F1E-9AB2-940A2DBE52DE}"/>
    <w:embedBold r:id="rId5" w:subsetted="1" w:fontKey="{16415568-11F6-4F5E-906B-6CD4D0D41149}"/>
  </w:font>
  <w:font w:name="楷体">
    <w:panose1 w:val="02010609060101010101"/>
    <w:charset w:val="86"/>
    <w:family w:val="modern"/>
    <w:pitch w:val="fixed"/>
    <w:sig w:usb0="800002BF" w:usb1="38CF7CFA" w:usb2="00000016" w:usb3="00000000" w:csb0="00040001" w:csb1="00000000"/>
    <w:embedRegular r:id="rId6" w:subsetted="1" w:fontKey="{6090D896-C12B-45A6-936B-F97BD47E46A7}"/>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7" w:subsetted="1" w:fontKey="{09777E97-6C90-44A7-BA0C-43998B64725E}"/>
    <w:embedBold r:id="rId8" w:subsetted="1" w:fontKey="{446F1446-EDD0-4194-9127-4B98D76F554B}"/>
  </w:font>
  <w:font w:name="楷体_GB2312">
    <w:charset w:val="86"/>
    <w:family w:val="modern"/>
    <w:pitch w:val="default"/>
    <w:sig w:usb0="00000001" w:usb1="080E0000" w:usb2="00000000" w:usb3="00000000" w:csb0="00040000" w:csb1="00000000"/>
    <w:embedRegular r:id="rId9" w:subsetted="1" w:fontKey="{298F9758-928F-4871-A1FA-DF56CDC3B860}"/>
  </w:font>
  <w:font w:name="微软雅黑">
    <w:panose1 w:val="020B0503020204020204"/>
    <w:charset w:val="86"/>
    <w:family w:val="swiss"/>
    <w:pitch w:val="variable"/>
    <w:sig w:usb0="80000287" w:usb1="280F3C52" w:usb2="00000016" w:usb3="00000000" w:csb0="0004001F" w:csb1="00000000"/>
    <w:embedRegular r:id="rId10" w:subsetted="1" w:fontKey="{FA1BCF26-A039-473A-98B2-D20F14529DB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E2" w:rsidRDefault="00BE79F1">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46E2" w:rsidRDefault="00BE79F1">
                          <w:pPr>
                            <w:pStyle w:val="a6"/>
                          </w:pPr>
                          <w:r>
                            <w:fldChar w:fldCharType="begin"/>
                          </w:r>
                          <w:r>
                            <w:instrText xml:space="preserve"> PAGE  \* MERGEFORMAT </w:instrText>
                          </w:r>
                          <w:r>
                            <w:fldChar w:fldCharType="separate"/>
                          </w:r>
                          <w:r w:rsidR="00F10AAD">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346E2" w:rsidRDefault="00BE79F1">
                    <w:pPr>
                      <w:pStyle w:val="a6"/>
                    </w:pPr>
                    <w:r>
                      <w:fldChar w:fldCharType="begin"/>
                    </w:r>
                    <w:r>
                      <w:instrText xml:space="preserve"> PAGE  \* MERGEFORMAT </w:instrText>
                    </w:r>
                    <w:r>
                      <w:fldChar w:fldCharType="separate"/>
                    </w:r>
                    <w:r w:rsidR="00F10AAD">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F6" w:rsidRDefault="00FF22F6">
      <w:r>
        <w:separator/>
      </w:r>
    </w:p>
  </w:footnote>
  <w:footnote w:type="continuationSeparator" w:id="0">
    <w:p w:rsidR="00FF22F6" w:rsidRDefault="00FF2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NmJhNTQ3YzA3MDlkZjdlZDYxZGI0MDI1ZTk2NzUifQ=="/>
  </w:docVars>
  <w:rsids>
    <w:rsidRoot w:val="2B9B3810"/>
    <w:rsid w:val="001D4FF4"/>
    <w:rsid w:val="00250B7C"/>
    <w:rsid w:val="00443568"/>
    <w:rsid w:val="006140F3"/>
    <w:rsid w:val="006E4C96"/>
    <w:rsid w:val="00BE79F1"/>
    <w:rsid w:val="00C34CF8"/>
    <w:rsid w:val="00C603FA"/>
    <w:rsid w:val="00F10AAD"/>
    <w:rsid w:val="00F346E2"/>
    <w:rsid w:val="00FF22F6"/>
    <w:rsid w:val="01B34B2E"/>
    <w:rsid w:val="01DA02C9"/>
    <w:rsid w:val="01E44FDB"/>
    <w:rsid w:val="01E84751"/>
    <w:rsid w:val="020C07D1"/>
    <w:rsid w:val="02302B50"/>
    <w:rsid w:val="023F66B6"/>
    <w:rsid w:val="02604BD4"/>
    <w:rsid w:val="0292273D"/>
    <w:rsid w:val="02AB78A7"/>
    <w:rsid w:val="02B85236"/>
    <w:rsid w:val="02FD6F28"/>
    <w:rsid w:val="032A6371"/>
    <w:rsid w:val="03337E7C"/>
    <w:rsid w:val="033A7ECD"/>
    <w:rsid w:val="03640D96"/>
    <w:rsid w:val="036B5EB7"/>
    <w:rsid w:val="03E70489"/>
    <w:rsid w:val="04A22F2C"/>
    <w:rsid w:val="05143E2A"/>
    <w:rsid w:val="052D1F18"/>
    <w:rsid w:val="055A0A62"/>
    <w:rsid w:val="05D373D6"/>
    <w:rsid w:val="05D6528E"/>
    <w:rsid w:val="06652E1A"/>
    <w:rsid w:val="066C559F"/>
    <w:rsid w:val="067B37DB"/>
    <w:rsid w:val="067F1777"/>
    <w:rsid w:val="06F35E28"/>
    <w:rsid w:val="071A46DC"/>
    <w:rsid w:val="0733430F"/>
    <w:rsid w:val="074402B4"/>
    <w:rsid w:val="078057A6"/>
    <w:rsid w:val="07B376A8"/>
    <w:rsid w:val="07F1514D"/>
    <w:rsid w:val="08413404"/>
    <w:rsid w:val="088F599E"/>
    <w:rsid w:val="092407D7"/>
    <w:rsid w:val="092D3D66"/>
    <w:rsid w:val="09440AEC"/>
    <w:rsid w:val="09743DFC"/>
    <w:rsid w:val="09E7491B"/>
    <w:rsid w:val="0A7259DE"/>
    <w:rsid w:val="0A7A31E9"/>
    <w:rsid w:val="0AC75E68"/>
    <w:rsid w:val="0B1F0E32"/>
    <w:rsid w:val="0B286835"/>
    <w:rsid w:val="0B363538"/>
    <w:rsid w:val="0C2D4BB8"/>
    <w:rsid w:val="0C462A9F"/>
    <w:rsid w:val="0C620C59"/>
    <w:rsid w:val="0CEF2F82"/>
    <w:rsid w:val="0D020543"/>
    <w:rsid w:val="0D4708D7"/>
    <w:rsid w:val="0D6D057B"/>
    <w:rsid w:val="0DAF5E85"/>
    <w:rsid w:val="0E317914"/>
    <w:rsid w:val="0E693142"/>
    <w:rsid w:val="0F1F765C"/>
    <w:rsid w:val="0F4B542D"/>
    <w:rsid w:val="0F542D9B"/>
    <w:rsid w:val="0F580DB7"/>
    <w:rsid w:val="0FA4224E"/>
    <w:rsid w:val="0FB51796"/>
    <w:rsid w:val="10734108"/>
    <w:rsid w:val="10913939"/>
    <w:rsid w:val="10CD5E8D"/>
    <w:rsid w:val="10EB0314"/>
    <w:rsid w:val="117849AD"/>
    <w:rsid w:val="119A7465"/>
    <w:rsid w:val="11C31C42"/>
    <w:rsid w:val="125117EE"/>
    <w:rsid w:val="12837EF9"/>
    <w:rsid w:val="130628D8"/>
    <w:rsid w:val="13834415"/>
    <w:rsid w:val="13C54541"/>
    <w:rsid w:val="141370BD"/>
    <w:rsid w:val="14301B15"/>
    <w:rsid w:val="14CB56E7"/>
    <w:rsid w:val="15233C15"/>
    <w:rsid w:val="158320C2"/>
    <w:rsid w:val="15BB1EAE"/>
    <w:rsid w:val="15BD53E6"/>
    <w:rsid w:val="16145FDE"/>
    <w:rsid w:val="16397F51"/>
    <w:rsid w:val="16503ECC"/>
    <w:rsid w:val="16881393"/>
    <w:rsid w:val="16B25250"/>
    <w:rsid w:val="16C459FC"/>
    <w:rsid w:val="170E129D"/>
    <w:rsid w:val="174F6F43"/>
    <w:rsid w:val="17B80644"/>
    <w:rsid w:val="189C7E50"/>
    <w:rsid w:val="1A1618A5"/>
    <w:rsid w:val="1A7A7D89"/>
    <w:rsid w:val="1A876515"/>
    <w:rsid w:val="1AA43B77"/>
    <w:rsid w:val="1AAB6064"/>
    <w:rsid w:val="1ACD0655"/>
    <w:rsid w:val="1B0F0EC3"/>
    <w:rsid w:val="1B8A227F"/>
    <w:rsid w:val="1BAF6D68"/>
    <w:rsid w:val="1BC71121"/>
    <w:rsid w:val="1C6C2CF5"/>
    <w:rsid w:val="1CCD5469"/>
    <w:rsid w:val="1D3C7DB4"/>
    <w:rsid w:val="1D4E572F"/>
    <w:rsid w:val="1D790876"/>
    <w:rsid w:val="1DE04E4E"/>
    <w:rsid w:val="1DEE0C15"/>
    <w:rsid w:val="1E5C0FA0"/>
    <w:rsid w:val="1E5E59CA"/>
    <w:rsid w:val="1E7D7EA8"/>
    <w:rsid w:val="1E960FB4"/>
    <w:rsid w:val="1EE44415"/>
    <w:rsid w:val="1F092EC6"/>
    <w:rsid w:val="1F2F1EFA"/>
    <w:rsid w:val="1F743563"/>
    <w:rsid w:val="1F8F25D3"/>
    <w:rsid w:val="20533C94"/>
    <w:rsid w:val="20730B8F"/>
    <w:rsid w:val="20834F25"/>
    <w:rsid w:val="218918B2"/>
    <w:rsid w:val="21C5594F"/>
    <w:rsid w:val="22017441"/>
    <w:rsid w:val="22B72401"/>
    <w:rsid w:val="22CB312D"/>
    <w:rsid w:val="22EF56BD"/>
    <w:rsid w:val="22F96CC3"/>
    <w:rsid w:val="23501FD8"/>
    <w:rsid w:val="237B2AE7"/>
    <w:rsid w:val="2407034F"/>
    <w:rsid w:val="243E45C7"/>
    <w:rsid w:val="244F2331"/>
    <w:rsid w:val="24945F95"/>
    <w:rsid w:val="250B4ABF"/>
    <w:rsid w:val="258772AA"/>
    <w:rsid w:val="25AE53B4"/>
    <w:rsid w:val="263871BA"/>
    <w:rsid w:val="26955FF5"/>
    <w:rsid w:val="26C50D04"/>
    <w:rsid w:val="273B094A"/>
    <w:rsid w:val="27C55EAF"/>
    <w:rsid w:val="28320FD6"/>
    <w:rsid w:val="28377363"/>
    <w:rsid w:val="28767A9B"/>
    <w:rsid w:val="28AA284A"/>
    <w:rsid w:val="28D63A63"/>
    <w:rsid w:val="29AD7494"/>
    <w:rsid w:val="29CD2FC5"/>
    <w:rsid w:val="2A266137"/>
    <w:rsid w:val="2B3E4EAD"/>
    <w:rsid w:val="2B9B3810"/>
    <w:rsid w:val="2BF35C97"/>
    <w:rsid w:val="2C9E1825"/>
    <w:rsid w:val="2CFD2607"/>
    <w:rsid w:val="2D102024"/>
    <w:rsid w:val="2D2A1307"/>
    <w:rsid w:val="2D30059F"/>
    <w:rsid w:val="2D823C21"/>
    <w:rsid w:val="2DAF7653"/>
    <w:rsid w:val="2DEA0F07"/>
    <w:rsid w:val="2E522FA6"/>
    <w:rsid w:val="2E826A6F"/>
    <w:rsid w:val="2E907491"/>
    <w:rsid w:val="2EB060C2"/>
    <w:rsid w:val="2F013C21"/>
    <w:rsid w:val="2F063299"/>
    <w:rsid w:val="2F571ADB"/>
    <w:rsid w:val="2F79142F"/>
    <w:rsid w:val="2F872714"/>
    <w:rsid w:val="2F8A75A7"/>
    <w:rsid w:val="304B2A28"/>
    <w:rsid w:val="305D5DD5"/>
    <w:rsid w:val="30B55C11"/>
    <w:rsid w:val="30BC6FA2"/>
    <w:rsid w:val="30FF64B1"/>
    <w:rsid w:val="315C332F"/>
    <w:rsid w:val="319C5B1F"/>
    <w:rsid w:val="3200110E"/>
    <w:rsid w:val="320329AC"/>
    <w:rsid w:val="325C746F"/>
    <w:rsid w:val="32655415"/>
    <w:rsid w:val="32687461"/>
    <w:rsid w:val="32943BED"/>
    <w:rsid w:val="32D241E7"/>
    <w:rsid w:val="32E36557"/>
    <w:rsid w:val="33A378C3"/>
    <w:rsid w:val="33CD3933"/>
    <w:rsid w:val="340950C5"/>
    <w:rsid w:val="340B0788"/>
    <w:rsid w:val="341C5E81"/>
    <w:rsid w:val="34B630ED"/>
    <w:rsid w:val="34C44675"/>
    <w:rsid w:val="350C679F"/>
    <w:rsid w:val="3510523C"/>
    <w:rsid w:val="35380BBF"/>
    <w:rsid w:val="35763D4F"/>
    <w:rsid w:val="358C6507"/>
    <w:rsid w:val="359B763B"/>
    <w:rsid w:val="35AF4372"/>
    <w:rsid w:val="35B83A2D"/>
    <w:rsid w:val="35E62759"/>
    <w:rsid w:val="366D2CB2"/>
    <w:rsid w:val="36777D34"/>
    <w:rsid w:val="368165FF"/>
    <w:rsid w:val="378178DC"/>
    <w:rsid w:val="382D200C"/>
    <w:rsid w:val="3840740B"/>
    <w:rsid w:val="388B222E"/>
    <w:rsid w:val="38995AD2"/>
    <w:rsid w:val="38EE2158"/>
    <w:rsid w:val="38F46924"/>
    <w:rsid w:val="39597D4F"/>
    <w:rsid w:val="39626508"/>
    <w:rsid w:val="39C72F53"/>
    <w:rsid w:val="3A2353D3"/>
    <w:rsid w:val="3BEF55E2"/>
    <w:rsid w:val="3C3B5806"/>
    <w:rsid w:val="3C6F6708"/>
    <w:rsid w:val="3DC647AC"/>
    <w:rsid w:val="3E28476F"/>
    <w:rsid w:val="3E5D17E5"/>
    <w:rsid w:val="3EDD2C33"/>
    <w:rsid w:val="3EE426F3"/>
    <w:rsid w:val="3F8F07D3"/>
    <w:rsid w:val="3FB53538"/>
    <w:rsid w:val="3FC05368"/>
    <w:rsid w:val="3FF563A5"/>
    <w:rsid w:val="407C55E6"/>
    <w:rsid w:val="40B26D25"/>
    <w:rsid w:val="40F1087B"/>
    <w:rsid w:val="41766CF7"/>
    <w:rsid w:val="41C6664C"/>
    <w:rsid w:val="420C6FB0"/>
    <w:rsid w:val="42181935"/>
    <w:rsid w:val="42562684"/>
    <w:rsid w:val="426F393A"/>
    <w:rsid w:val="42B47DFC"/>
    <w:rsid w:val="42C423FA"/>
    <w:rsid w:val="431D14F7"/>
    <w:rsid w:val="43CE1D42"/>
    <w:rsid w:val="43F51EC0"/>
    <w:rsid w:val="440A5A5D"/>
    <w:rsid w:val="441F0911"/>
    <w:rsid w:val="44473100"/>
    <w:rsid w:val="448005AA"/>
    <w:rsid w:val="44AB521D"/>
    <w:rsid w:val="457B0D80"/>
    <w:rsid w:val="45823529"/>
    <w:rsid w:val="459E05CA"/>
    <w:rsid w:val="45A156A2"/>
    <w:rsid w:val="45E629C2"/>
    <w:rsid w:val="46046972"/>
    <w:rsid w:val="46386E2F"/>
    <w:rsid w:val="46AA1DDE"/>
    <w:rsid w:val="47411B55"/>
    <w:rsid w:val="475353E4"/>
    <w:rsid w:val="47B83BA7"/>
    <w:rsid w:val="47E14D6C"/>
    <w:rsid w:val="48224FE2"/>
    <w:rsid w:val="4850658B"/>
    <w:rsid w:val="48D35A55"/>
    <w:rsid w:val="48D7034D"/>
    <w:rsid w:val="4900033A"/>
    <w:rsid w:val="498C56E8"/>
    <w:rsid w:val="49CB1BAA"/>
    <w:rsid w:val="4A3C791B"/>
    <w:rsid w:val="4A7035B9"/>
    <w:rsid w:val="4A9106FD"/>
    <w:rsid w:val="4A970D2D"/>
    <w:rsid w:val="4B5131C7"/>
    <w:rsid w:val="4B8C5E7D"/>
    <w:rsid w:val="4BAA6869"/>
    <w:rsid w:val="4C046783"/>
    <w:rsid w:val="4C126940"/>
    <w:rsid w:val="4CA433C6"/>
    <w:rsid w:val="4CBD7ED0"/>
    <w:rsid w:val="4CE1714D"/>
    <w:rsid w:val="4CEA0499"/>
    <w:rsid w:val="4CF6334C"/>
    <w:rsid w:val="4D341BC9"/>
    <w:rsid w:val="4DAC460A"/>
    <w:rsid w:val="4DDA3AB6"/>
    <w:rsid w:val="4E1C6BE0"/>
    <w:rsid w:val="4E31410B"/>
    <w:rsid w:val="4E4454AB"/>
    <w:rsid w:val="4F370F05"/>
    <w:rsid w:val="4F3B0026"/>
    <w:rsid w:val="4F587A3C"/>
    <w:rsid w:val="4F973CFE"/>
    <w:rsid w:val="4FB703F3"/>
    <w:rsid w:val="4FE37C4D"/>
    <w:rsid w:val="4FFB7E40"/>
    <w:rsid w:val="4FFF435B"/>
    <w:rsid w:val="50351901"/>
    <w:rsid w:val="511F1B25"/>
    <w:rsid w:val="51300B40"/>
    <w:rsid w:val="51BA2C30"/>
    <w:rsid w:val="51CD795C"/>
    <w:rsid w:val="520A3291"/>
    <w:rsid w:val="52146BF0"/>
    <w:rsid w:val="52E10D67"/>
    <w:rsid w:val="53116A3D"/>
    <w:rsid w:val="536B695C"/>
    <w:rsid w:val="538D778E"/>
    <w:rsid w:val="538F61ED"/>
    <w:rsid w:val="53AC40A7"/>
    <w:rsid w:val="544551FE"/>
    <w:rsid w:val="54C7453B"/>
    <w:rsid w:val="54D35AAA"/>
    <w:rsid w:val="54F2693A"/>
    <w:rsid w:val="5554462E"/>
    <w:rsid w:val="55560EC1"/>
    <w:rsid w:val="55C82094"/>
    <w:rsid w:val="563C1486"/>
    <w:rsid w:val="56C36D65"/>
    <w:rsid w:val="572E2560"/>
    <w:rsid w:val="597461B8"/>
    <w:rsid w:val="5AA32AC4"/>
    <w:rsid w:val="5AD9597B"/>
    <w:rsid w:val="5B1F5E61"/>
    <w:rsid w:val="5B4812AC"/>
    <w:rsid w:val="5B501C5C"/>
    <w:rsid w:val="5B78051D"/>
    <w:rsid w:val="5B7867D7"/>
    <w:rsid w:val="5C676FD5"/>
    <w:rsid w:val="5C907FC4"/>
    <w:rsid w:val="5D3C099D"/>
    <w:rsid w:val="5D8103B4"/>
    <w:rsid w:val="5DB72F8D"/>
    <w:rsid w:val="5E2002BE"/>
    <w:rsid w:val="5E4F4700"/>
    <w:rsid w:val="5E8E122B"/>
    <w:rsid w:val="5EC0577C"/>
    <w:rsid w:val="5ED23856"/>
    <w:rsid w:val="5F1179BA"/>
    <w:rsid w:val="5F2E1AC0"/>
    <w:rsid w:val="5F6C29D2"/>
    <w:rsid w:val="5FBC3EB6"/>
    <w:rsid w:val="5FC17D84"/>
    <w:rsid w:val="604C06F5"/>
    <w:rsid w:val="607549B2"/>
    <w:rsid w:val="61363955"/>
    <w:rsid w:val="61535A12"/>
    <w:rsid w:val="61A7242C"/>
    <w:rsid w:val="61D349D1"/>
    <w:rsid w:val="61DB16D6"/>
    <w:rsid w:val="6217754D"/>
    <w:rsid w:val="631912FD"/>
    <w:rsid w:val="633C465B"/>
    <w:rsid w:val="63CC3166"/>
    <w:rsid w:val="63FE3AA9"/>
    <w:rsid w:val="64281A43"/>
    <w:rsid w:val="64AE0AC4"/>
    <w:rsid w:val="64EF66F2"/>
    <w:rsid w:val="65525951"/>
    <w:rsid w:val="65824C6E"/>
    <w:rsid w:val="65850B8F"/>
    <w:rsid w:val="65AD441D"/>
    <w:rsid w:val="65D345A4"/>
    <w:rsid w:val="65D61B75"/>
    <w:rsid w:val="666745A4"/>
    <w:rsid w:val="668F448D"/>
    <w:rsid w:val="66953CF0"/>
    <w:rsid w:val="671759CA"/>
    <w:rsid w:val="67262027"/>
    <w:rsid w:val="672E722F"/>
    <w:rsid w:val="676A5CA9"/>
    <w:rsid w:val="67D974B5"/>
    <w:rsid w:val="683A2C0C"/>
    <w:rsid w:val="689740DE"/>
    <w:rsid w:val="68C84D11"/>
    <w:rsid w:val="68D2711F"/>
    <w:rsid w:val="691B0BB1"/>
    <w:rsid w:val="691D45E8"/>
    <w:rsid w:val="69584FAE"/>
    <w:rsid w:val="697E39C2"/>
    <w:rsid w:val="69C74697"/>
    <w:rsid w:val="6A531BAB"/>
    <w:rsid w:val="6A670DDE"/>
    <w:rsid w:val="6AF825E5"/>
    <w:rsid w:val="6B833C3B"/>
    <w:rsid w:val="6B9A40E5"/>
    <w:rsid w:val="6BCA180B"/>
    <w:rsid w:val="6C4A388A"/>
    <w:rsid w:val="6C756BFF"/>
    <w:rsid w:val="6CAE50D7"/>
    <w:rsid w:val="6CC87B57"/>
    <w:rsid w:val="6CD7383B"/>
    <w:rsid w:val="6CE66F48"/>
    <w:rsid w:val="6CED5810"/>
    <w:rsid w:val="6D062D75"/>
    <w:rsid w:val="6D1E52C9"/>
    <w:rsid w:val="6D401DE3"/>
    <w:rsid w:val="6D6678E8"/>
    <w:rsid w:val="6D9263B7"/>
    <w:rsid w:val="6DA35C5A"/>
    <w:rsid w:val="6DB84AFF"/>
    <w:rsid w:val="6E5F48E4"/>
    <w:rsid w:val="6E865F1C"/>
    <w:rsid w:val="6EF53F67"/>
    <w:rsid w:val="6F0155A2"/>
    <w:rsid w:val="6F3F56DA"/>
    <w:rsid w:val="6F590428"/>
    <w:rsid w:val="6F5C5730"/>
    <w:rsid w:val="6F7B360A"/>
    <w:rsid w:val="6F991503"/>
    <w:rsid w:val="6FED5B27"/>
    <w:rsid w:val="6FFB7D9E"/>
    <w:rsid w:val="700C3E81"/>
    <w:rsid w:val="70A7191D"/>
    <w:rsid w:val="70B63368"/>
    <w:rsid w:val="70C90342"/>
    <w:rsid w:val="70F51137"/>
    <w:rsid w:val="713C42A5"/>
    <w:rsid w:val="714B0D57"/>
    <w:rsid w:val="715F7EA5"/>
    <w:rsid w:val="716073FF"/>
    <w:rsid w:val="717C0E65"/>
    <w:rsid w:val="72412142"/>
    <w:rsid w:val="72E67A2A"/>
    <w:rsid w:val="72EF643B"/>
    <w:rsid w:val="73010267"/>
    <w:rsid w:val="731E76A5"/>
    <w:rsid w:val="73593FBB"/>
    <w:rsid w:val="73A0182E"/>
    <w:rsid w:val="73A9637A"/>
    <w:rsid w:val="740F0A87"/>
    <w:rsid w:val="74D8387C"/>
    <w:rsid w:val="74E8439B"/>
    <w:rsid w:val="74E86459"/>
    <w:rsid w:val="751945EE"/>
    <w:rsid w:val="75E972D9"/>
    <w:rsid w:val="75EE438F"/>
    <w:rsid w:val="76424E1E"/>
    <w:rsid w:val="76BD44A5"/>
    <w:rsid w:val="76EE2716"/>
    <w:rsid w:val="77D47CF8"/>
    <w:rsid w:val="78FB5758"/>
    <w:rsid w:val="795D6060"/>
    <w:rsid w:val="79BF4D58"/>
    <w:rsid w:val="7A041F52"/>
    <w:rsid w:val="7A0A385F"/>
    <w:rsid w:val="7A9C09D4"/>
    <w:rsid w:val="7AB43C2F"/>
    <w:rsid w:val="7AD9074D"/>
    <w:rsid w:val="7AFE58EC"/>
    <w:rsid w:val="7AFF0171"/>
    <w:rsid w:val="7B470802"/>
    <w:rsid w:val="7B632901"/>
    <w:rsid w:val="7B731110"/>
    <w:rsid w:val="7BB544F2"/>
    <w:rsid w:val="7C4F4E83"/>
    <w:rsid w:val="7C831314"/>
    <w:rsid w:val="7CAE3CED"/>
    <w:rsid w:val="7CBE585C"/>
    <w:rsid w:val="7CEA1D6C"/>
    <w:rsid w:val="7D506B87"/>
    <w:rsid w:val="7D5971EA"/>
    <w:rsid w:val="7D5C69C6"/>
    <w:rsid w:val="7D714758"/>
    <w:rsid w:val="7E070C09"/>
    <w:rsid w:val="7E5A517A"/>
    <w:rsid w:val="7E847352"/>
    <w:rsid w:val="7E994E83"/>
    <w:rsid w:val="7F040736"/>
    <w:rsid w:val="7F234A4B"/>
    <w:rsid w:val="7F415E49"/>
    <w:rsid w:val="7FB0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34623D"/>
  <w15:docId w15:val="{59DF34F7-569B-4613-8184-D84966C5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semiHidden/>
    <w:unhideWhenUsed/>
    <w:qFormat/>
    <w:rPr>
      <w:rFonts w:ascii="Arial" w:eastAsia="黑体" w:hAnsi="Arial"/>
      <w:sz w:val="20"/>
    </w:rPr>
  </w:style>
  <w:style w:type="paragraph" w:styleId="a5">
    <w:name w:val="annotation text"/>
    <w:basedOn w:val="a"/>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paragraph" w:customStyle="1" w:styleId="Style1">
    <w:name w:val="_Style 1"/>
    <w:basedOn w:val="a"/>
    <w:qFormat/>
    <w:pPr>
      <w:ind w:firstLineChars="200" w:firstLine="200"/>
    </w:pPr>
    <w:rPr>
      <w:rFonts w:ascii="Calibri" w:eastAsia="宋体" w:hAnsi="Calibri" w:cs="Times New Roman"/>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2200</Words>
  <Characters>12546</Characters>
  <Application>Microsoft Office Word</Application>
  <DocSecurity>0</DocSecurity>
  <Lines>104</Lines>
  <Paragraphs>29</Paragraphs>
  <ScaleCrop>false</ScaleCrop>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TAINY</dc:creator>
  <cp:lastModifiedBy>Administrator</cp:lastModifiedBy>
  <cp:revision>4</cp:revision>
  <dcterms:created xsi:type="dcterms:W3CDTF">2022-05-15T22:00:00Z</dcterms:created>
  <dcterms:modified xsi:type="dcterms:W3CDTF">2024-05-20T02:25:00Z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CF0920038801477AAA8A8269DF1CCAF2_13</vt:lpwstr>
  </property>
</Properties>
</file>